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E4DFE8" w14:textId="028D9B98"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B2870">
        <w:rPr>
          <w:rFonts w:ascii="Arial" w:eastAsia="SimSun" w:hAnsi="Arial" w:cs="Times New Roman"/>
          <w:b/>
          <w:sz w:val="24"/>
          <w:szCs w:val="20"/>
          <w:lang w:val="en-GB"/>
        </w:rPr>
        <w:t>WG4 Meeting #</w:t>
      </w:r>
      <w:r w:rsidR="00A226EA">
        <w:rPr>
          <w:rFonts w:ascii="Arial" w:eastAsia="SimSun" w:hAnsi="Arial" w:cs="Times New Roman"/>
          <w:b/>
          <w:sz w:val="24"/>
          <w:szCs w:val="20"/>
          <w:lang w:val="en-GB"/>
        </w:rPr>
        <w:t>92</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A226EA">
        <w:rPr>
          <w:rFonts w:ascii="Arial" w:eastAsia="SimSun" w:hAnsi="Arial" w:cs="Times New Roman"/>
          <w:b/>
          <w:bCs/>
          <w:sz w:val="24"/>
          <w:szCs w:val="20"/>
          <w:lang w:val="en-GB" w:eastAsia="zh-CN"/>
        </w:rPr>
        <w:t>9</w:t>
      </w:r>
      <w:r w:rsidR="00BA6026">
        <w:rPr>
          <w:rFonts w:ascii="Arial" w:eastAsia="SimSun" w:hAnsi="Arial" w:cs="Times New Roman"/>
          <w:b/>
          <w:bCs/>
          <w:sz w:val="24"/>
          <w:szCs w:val="20"/>
          <w:lang w:val="en-GB" w:eastAsia="zh-CN"/>
        </w:rPr>
        <w:t>09223</w:t>
      </w:r>
    </w:p>
    <w:p w14:paraId="596E9641" w14:textId="5F6D1D58" w:rsidR="00841BCD" w:rsidRPr="00841BCD" w:rsidRDefault="00A226E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4"/>
          <w:lang w:val="en-GB"/>
        </w:rPr>
      </w:pPr>
      <w:r w:rsidRPr="005E6CF6">
        <w:rPr>
          <w:rFonts w:ascii="Arial" w:eastAsia="SimSun" w:hAnsi="Arial" w:cs="Times New Roman"/>
          <w:b/>
          <w:bCs/>
          <w:sz w:val="24"/>
          <w:szCs w:val="24"/>
          <w:lang w:val="en-GB"/>
        </w:rPr>
        <w:t>Ljubljana</w:t>
      </w:r>
      <w:r w:rsidR="00811C9D" w:rsidRPr="005E6CF6">
        <w:rPr>
          <w:rFonts w:ascii="Arial" w:eastAsia="SimSun" w:hAnsi="Arial" w:cs="Times New Roman"/>
          <w:b/>
          <w:bCs/>
          <w:sz w:val="24"/>
          <w:szCs w:val="24"/>
          <w:lang w:val="en-GB"/>
        </w:rPr>
        <w:t xml:space="preserve">, </w:t>
      </w:r>
      <w:r w:rsidRPr="005E6CF6">
        <w:rPr>
          <w:rFonts w:ascii="Arial" w:eastAsia="SimSun" w:hAnsi="Arial" w:cs="Times New Roman"/>
          <w:b/>
          <w:bCs/>
          <w:sz w:val="24"/>
          <w:szCs w:val="24"/>
          <w:lang w:val="en-GB"/>
        </w:rPr>
        <w:t>Slovenia</w:t>
      </w:r>
      <w:r w:rsidR="00BA6E48" w:rsidRPr="005E6CF6">
        <w:rPr>
          <w:rFonts w:ascii="Arial" w:eastAsia="SimSun" w:hAnsi="Arial" w:cs="Times New Roman"/>
          <w:b/>
          <w:bCs/>
          <w:sz w:val="24"/>
          <w:szCs w:val="24"/>
          <w:lang w:val="en-GB"/>
        </w:rPr>
        <w:t xml:space="preserve">, </w:t>
      </w:r>
      <w:r w:rsidRPr="005E6CF6">
        <w:rPr>
          <w:rFonts w:ascii="Arial" w:eastAsia="SimSun" w:hAnsi="Arial" w:cs="Times New Roman"/>
          <w:b/>
          <w:bCs/>
          <w:sz w:val="24"/>
          <w:szCs w:val="24"/>
          <w:lang w:val="en-GB"/>
        </w:rPr>
        <w:t>August</w:t>
      </w:r>
      <w:r w:rsidR="00ED7600" w:rsidRPr="005E6CF6">
        <w:rPr>
          <w:rFonts w:ascii="Arial" w:eastAsia="SimSun" w:hAnsi="Arial" w:cs="Times New Roman"/>
          <w:b/>
          <w:bCs/>
          <w:sz w:val="24"/>
          <w:szCs w:val="24"/>
          <w:lang w:val="en-GB"/>
        </w:rPr>
        <w:t xml:space="preserve"> </w:t>
      </w:r>
      <w:r w:rsidR="001B2870" w:rsidRPr="005E6CF6">
        <w:rPr>
          <w:rFonts w:ascii="Arial" w:eastAsia="SimSun" w:hAnsi="Arial" w:cs="Times New Roman"/>
          <w:b/>
          <w:bCs/>
          <w:sz w:val="24"/>
          <w:szCs w:val="24"/>
          <w:lang w:val="en-GB"/>
        </w:rPr>
        <w:t>2</w:t>
      </w:r>
      <w:r w:rsidRPr="005E6CF6">
        <w:rPr>
          <w:rFonts w:ascii="Arial" w:eastAsia="SimSun" w:hAnsi="Arial" w:cs="Times New Roman"/>
          <w:b/>
          <w:bCs/>
          <w:sz w:val="24"/>
          <w:szCs w:val="24"/>
          <w:lang w:val="en-GB"/>
        </w:rPr>
        <w:t>6</w:t>
      </w:r>
      <w:r w:rsidR="49BDF7F1" w:rsidRPr="005E6CF6">
        <w:rPr>
          <w:rFonts w:ascii="Arial" w:eastAsia="SimSun" w:hAnsi="Arial" w:cs="Times New Roman"/>
          <w:b/>
          <w:bCs/>
          <w:sz w:val="24"/>
          <w:szCs w:val="24"/>
          <w:vertAlign w:val="superscript"/>
          <w:lang w:val="en-GB"/>
        </w:rPr>
        <w:t>th</w:t>
      </w:r>
      <w:r w:rsidR="00811C9D" w:rsidRPr="005E6CF6">
        <w:rPr>
          <w:rFonts w:ascii="Arial" w:eastAsia="SimSun" w:hAnsi="Arial" w:cs="Times New Roman"/>
          <w:b/>
          <w:bCs/>
          <w:sz w:val="24"/>
          <w:szCs w:val="24"/>
          <w:lang w:val="en-GB"/>
        </w:rPr>
        <w:t xml:space="preserve">– </w:t>
      </w:r>
      <w:r w:rsidRPr="005E6CF6">
        <w:rPr>
          <w:rFonts w:ascii="Arial" w:eastAsia="SimSun" w:hAnsi="Arial" w:cs="Times New Roman"/>
          <w:b/>
          <w:bCs/>
          <w:sz w:val="24"/>
          <w:szCs w:val="24"/>
          <w:lang w:val="en-GB"/>
        </w:rPr>
        <w:t>30</w:t>
      </w:r>
      <w:r w:rsidR="00C15060" w:rsidRPr="005E6CF6">
        <w:rPr>
          <w:rFonts w:ascii="Arial" w:eastAsia="SimSun" w:hAnsi="Arial" w:cs="Times New Roman"/>
          <w:b/>
          <w:bCs/>
          <w:sz w:val="24"/>
          <w:szCs w:val="24"/>
          <w:vertAlign w:val="superscript"/>
          <w:lang w:val="en-GB"/>
        </w:rPr>
        <w:t>th</w:t>
      </w:r>
      <w:r w:rsidR="00001C9B" w:rsidRPr="005E6CF6">
        <w:rPr>
          <w:rFonts w:ascii="Arial" w:eastAsia="SimSun" w:hAnsi="Arial" w:cs="Times New Roman"/>
          <w:b/>
          <w:bCs/>
          <w:sz w:val="24"/>
          <w:szCs w:val="24"/>
          <w:lang w:val="en-GB"/>
        </w:rPr>
        <w:t xml:space="preserve"> </w:t>
      </w:r>
      <w:r w:rsidR="00841BCD" w:rsidRPr="00841BCD">
        <w:rPr>
          <w:rFonts w:ascii="Arial" w:eastAsia="SimSun" w:hAnsi="Arial" w:cs="Times New Roman"/>
          <w:b/>
          <w:bCs/>
          <w:noProof/>
          <w:sz w:val="24"/>
          <w:szCs w:val="24"/>
          <w:lang w:eastAsia="zh-CN"/>
        </w:rPr>
        <w:t>201</w:t>
      </w:r>
      <w:r>
        <w:rPr>
          <w:rFonts w:ascii="Arial" w:eastAsia="SimSun" w:hAnsi="Arial" w:cs="Times New Roman"/>
          <w:b/>
          <w:bCs/>
          <w:noProof/>
          <w:sz w:val="24"/>
          <w:szCs w:val="24"/>
          <w:lang w:eastAsia="zh-CN"/>
        </w:rPr>
        <w:t>9</w:t>
      </w:r>
    </w:p>
    <w:p w14:paraId="028726B1"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bookmarkStart w:id="3" w:name="_GoBack"/>
      <w:bookmarkEnd w:id="0"/>
      <w:bookmarkEnd w:id="1"/>
      <w:bookmarkEnd w:id="3"/>
    </w:p>
    <w:p w14:paraId="15E3F712"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658A2BCE" w14:textId="77777777"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62513C">
        <w:rPr>
          <w:rFonts w:ascii="Arial" w:eastAsia="Calibri" w:hAnsi="Arial" w:cs="Arial"/>
          <w:b/>
          <w:bCs/>
          <w:sz w:val="24"/>
          <w:lang w:val="en-GB"/>
        </w:rPr>
        <w:t>On Active BWP switch delay in NR-U</w:t>
      </w:r>
      <w:r w:rsidRPr="00841BCD" w:rsidDel="000A742C">
        <w:rPr>
          <w:rFonts w:ascii="Arial" w:eastAsia="Calibri" w:hAnsi="Arial" w:cs="Arial"/>
          <w:b/>
          <w:bCs/>
          <w:sz w:val="24"/>
          <w:lang w:val="en-GB"/>
        </w:rPr>
        <w:t xml:space="preserve"> </w:t>
      </w:r>
    </w:p>
    <w:p w14:paraId="00BF6C82" w14:textId="261BD8D5" w:rsidR="00841BCD" w:rsidRPr="00BC766B"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B7010" w:rsidRPr="00BC766B">
        <w:rPr>
          <w:rFonts w:ascii="Arial" w:eastAsia="MS Mincho" w:hAnsi="Arial" w:cs="Arial"/>
          <w:b/>
          <w:bCs/>
          <w:sz w:val="24"/>
          <w:szCs w:val="20"/>
          <w:lang w:val="en-GB"/>
        </w:rPr>
        <w:t>9</w:t>
      </w:r>
      <w:r w:rsidRPr="00BC766B">
        <w:rPr>
          <w:rFonts w:ascii="Arial" w:eastAsia="MS Mincho" w:hAnsi="Arial" w:cs="Arial"/>
          <w:b/>
          <w:bCs/>
          <w:sz w:val="24"/>
          <w:szCs w:val="20"/>
          <w:lang w:val="en-GB"/>
        </w:rPr>
        <w:t>.</w:t>
      </w:r>
      <w:r w:rsidR="00BC766B" w:rsidRPr="00BC766B">
        <w:rPr>
          <w:rFonts w:ascii="Arial" w:eastAsia="MS Mincho" w:hAnsi="Arial" w:cs="Arial"/>
          <w:b/>
          <w:bCs/>
          <w:sz w:val="24"/>
          <w:szCs w:val="20"/>
          <w:lang w:val="en-GB"/>
        </w:rPr>
        <w:t>1.5.7</w:t>
      </w:r>
    </w:p>
    <w:p w14:paraId="4AB27591" w14:textId="2E82EDE2" w:rsidR="00841BCD" w:rsidRPr="00841BCD" w:rsidRDefault="00841BCD" w:rsidP="00841BCD">
      <w:pPr>
        <w:tabs>
          <w:tab w:val="left" w:pos="1985"/>
        </w:tabs>
        <w:rPr>
          <w:rFonts w:ascii="Arial" w:eastAsia="Calibri" w:hAnsi="Arial" w:cs="Arial"/>
          <w:b/>
          <w:bCs/>
          <w:sz w:val="24"/>
          <w:lang w:val="en-GB"/>
        </w:rPr>
      </w:pPr>
      <w:r w:rsidRPr="00BC766B">
        <w:rPr>
          <w:rFonts w:ascii="Arial" w:eastAsia="Calibri" w:hAnsi="Arial" w:cs="Arial"/>
          <w:b/>
          <w:bCs/>
          <w:sz w:val="24"/>
          <w:lang w:val="en-GB"/>
        </w:rPr>
        <w:t>Document for:</w:t>
      </w:r>
      <w:r w:rsidRPr="00BC766B">
        <w:rPr>
          <w:rFonts w:ascii="Arial" w:eastAsia="Calibri" w:hAnsi="Arial" w:cs="Arial"/>
          <w:b/>
          <w:bCs/>
          <w:sz w:val="24"/>
          <w:lang w:val="en-GB"/>
        </w:rPr>
        <w:tab/>
        <w:t>Discussion</w:t>
      </w:r>
      <w:r w:rsidR="0074649E" w:rsidRPr="00BC766B">
        <w:rPr>
          <w:rFonts w:ascii="Arial" w:eastAsia="Calibri" w:hAnsi="Arial" w:cs="Arial"/>
          <w:b/>
          <w:bCs/>
          <w:sz w:val="24"/>
          <w:lang w:val="en-GB"/>
        </w:rPr>
        <w:t xml:space="preserve"> and Decision</w:t>
      </w:r>
    </w:p>
    <w:p w14:paraId="3B551A50"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4ADF3DD0" w14:textId="77777777" w:rsidR="000F436C" w:rsidRDefault="000F436C" w:rsidP="000F436C">
      <w:pPr>
        <w:jc w:val="both"/>
      </w:pPr>
      <w:r>
        <w:rPr>
          <w:rFonts w:eastAsia="Calibri" w:cs="Times New Roman"/>
          <w:szCs w:val="20"/>
          <w:lang w:val="en-GB"/>
        </w:rPr>
        <w:t xml:space="preserve">The feasibility of NR operation in unlicensed spectrum was determined considering five different scenarios namely </w:t>
      </w:r>
      <w:r w:rsidRPr="00F04C45">
        <w:t>NR-U LAA,</w:t>
      </w:r>
      <w:r>
        <w:rPr>
          <w:b/>
        </w:rPr>
        <w:t xml:space="preserve"> </w:t>
      </w:r>
      <w:r>
        <w:t>ENU-DC</w:t>
      </w:r>
      <w:r>
        <w:rPr>
          <w:b/>
        </w:rPr>
        <w:t xml:space="preserve">, </w:t>
      </w:r>
      <w:r>
        <w:t>NR-U SA, NR-U SA with uplink in licensed band and NNU-DC, as follows:</w:t>
      </w:r>
    </w:p>
    <w:p w14:paraId="71532ABA" w14:textId="77777777" w:rsidR="000F436C" w:rsidRDefault="000F436C" w:rsidP="000F436C">
      <w:pPr>
        <w:numPr>
          <w:ilvl w:val="0"/>
          <w:numId w:val="18"/>
        </w:numPr>
        <w:overflowPunct w:val="0"/>
        <w:autoSpaceDE w:val="0"/>
        <w:autoSpaceDN w:val="0"/>
        <w:adjustRightInd w:val="0"/>
        <w:spacing w:after="0" w:line="240" w:lineRule="auto"/>
        <w:jc w:val="both"/>
        <w:rPr>
          <w:bCs/>
        </w:rPr>
      </w:pPr>
      <w:r>
        <w:rPr>
          <w:bCs/>
        </w:rPr>
        <w:t>Scenario A: Carrier aggregation between licensed band NR (</w:t>
      </w:r>
      <w:proofErr w:type="spellStart"/>
      <w:r>
        <w:rPr>
          <w:bCs/>
        </w:rPr>
        <w:t>PCell</w:t>
      </w:r>
      <w:proofErr w:type="spellEnd"/>
      <w:r>
        <w:rPr>
          <w:bCs/>
        </w:rPr>
        <w:t>) and NR-U (</w:t>
      </w:r>
      <w:proofErr w:type="spellStart"/>
      <w:r>
        <w:rPr>
          <w:bCs/>
        </w:rPr>
        <w:t>SCell</w:t>
      </w:r>
      <w:proofErr w:type="spellEnd"/>
      <w:r>
        <w:rPr>
          <w:bCs/>
        </w:rPr>
        <w:t xml:space="preserve">) </w:t>
      </w:r>
    </w:p>
    <w:p w14:paraId="1E9B1D6E" w14:textId="77777777" w:rsidR="000F436C" w:rsidRPr="00F04C45" w:rsidRDefault="000F436C" w:rsidP="000F436C">
      <w:pPr>
        <w:numPr>
          <w:ilvl w:val="1"/>
          <w:numId w:val="18"/>
        </w:numPr>
        <w:overflowPunct w:val="0"/>
        <w:autoSpaceDE w:val="0"/>
        <w:autoSpaceDN w:val="0"/>
        <w:adjustRightInd w:val="0"/>
        <w:spacing w:after="0" w:line="240" w:lineRule="auto"/>
        <w:jc w:val="both"/>
        <w:rPr>
          <w:bCs/>
        </w:rPr>
      </w:pPr>
      <w:r>
        <w:rPr>
          <w:bCs/>
        </w:rPr>
        <w:t xml:space="preserve">NR-U </w:t>
      </w:r>
      <w:proofErr w:type="spellStart"/>
      <w:r>
        <w:rPr>
          <w:bCs/>
        </w:rPr>
        <w:t>SCell</w:t>
      </w:r>
      <w:proofErr w:type="spellEnd"/>
      <w:r>
        <w:rPr>
          <w:bCs/>
        </w:rPr>
        <w:t xml:space="preserve"> may have both DL and UL, or </w:t>
      </w:r>
      <w:r w:rsidRPr="00F04C45">
        <w:rPr>
          <w:bCs/>
        </w:rPr>
        <w:t>DL-only.</w:t>
      </w:r>
    </w:p>
    <w:p w14:paraId="3FC4C22D" w14:textId="77777777" w:rsidR="000F436C" w:rsidRDefault="000F436C" w:rsidP="000F436C">
      <w:pPr>
        <w:numPr>
          <w:ilvl w:val="0"/>
          <w:numId w:val="18"/>
        </w:numPr>
        <w:overflowPunct w:val="0"/>
        <w:autoSpaceDE w:val="0"/>
        <w:autoSpaceDN w:val="0"/>
        <w:adjustRightInd w:val="0"/>
        <w:spacing w:after="0" w:line="240" w:lineRule="auto"/>
        <w:jc w:val="both"/>
        <w:rPr>
          <w:bCs/>
        </w:rPr>
      </w:pPr>
      <w:r>
        <w:rPr>
          <w:bCs/>
        </w:rPr>
        <w:t>Scenario B: Dual connectivity between licensed band LTE (</w:t>
      </w:r>
      <w:proofErr w:type="spellStart"/>
      <w:r>
        <w:rPr>
          <w:bCs/>
        </w:rPr>
        <w:t>PCell</w:t>
      </w:r>
      <w:proofErr w:type="spellEnd"/>
      <w:r>
        <w:rPr>
          <w:bCs/>
        </w:rPr>
        <w:t>) and NR-U (</w:t>
      </w:r>
      <w:proofErr w:type="spellStart"/>
      <w:r>
        <w:rPr>
          <w:bCs/>
        </w:rPr>
        <w:t>PSCell</w:t>
      </w:r>
      <w:proofErr w:type="spellEnd"/>
      <w:r>
        <w:rPr>
          <w:bCs/>
        </w:rPr>
        <w:t>)</w:t>
      </w:r>
    </w:p>
    <w:p w14:paraId="7A5A218B" w14:textId="77777777" w:rsidR="000F436C" w:rsidRPr="00F04C45" w:rsidRDefault="000F436C" w:rsidP="000F436C">
      <w:pPr>
        <w:numPr>
          <w:ilvl w:val="0"/>
          <w:numId w:val="18"/>
        </w:numPr>
        <w:overflowPunct w:val="0"/>
        <w:autoSpaceDE w:val="0"/>
        <w:autoSpaceDN w:val="0"/>
        <w:adjustRightInd w:val="0"/>
        <w:spacing w:after="0" w:line="240" w:lineRule="auto"/>
        <w:jc w:val="both"/>
        <w:rPr>
          <w:bCs/>
        </w:rPr>
      </w:pPr>
      <w:r w:rsidRPr="00F04C45">
        <w:rPr>
          <w:bCs/>
        </w:rPr>
        <w:t>Scenario C: Stand-alone NR-U</w:t>
      </w:r>
    </w:p>
    <w:p w14:paraId="6EC5D298" w14:textId="77777777" w:rsidR="000F436C" w:rsidRPr="0056348E" w:rsidRDefault="000F436C" w:rsidP="000F436C">
      <w:pPr>
        <w:numPr>
          <w:ilvl w:val="0"/>
          <w:numId w:val="18"/>
        </w:numPr>
        <w:overflowPunct w:val="0"/>
        <w:autoSpaceDE w:val="0"/>
        <w:autoSpaceDN w:val="0"/>
        <w:adjustRightInd w:val="0"/>
        <w:spacing w:after="0" w:line="240" w:lineRule="auto"/>
        <w:jc w:val="both"/>
        <w:rPr>
          <w:bCs/>
        </w:rPr>
      </w:pPr>
      <w:r>
        <w:rPr>
          <w:bCs/>
        </w:rPr>
        <w:t xml:space="preserve">Scenario D: A stand-alone NR cell in unlicensed band and </w:t>
      </w:r>
      <w:r w:rsidRPr="00F04C45">
        <w:rPr>
          <w:bCs/>
        </w:rPr>
        <w:t>UL in licensed band</w:t>
      </w:r>
    </w:p>
    <w:p w14:paraId="362D1039" w14:textId="77777777" w:rsidR="000F436C" w:rsidRDefault="000F436C" w:rsidP="000F436C">
      <w:pPr>
        <w:numPr>
          <w:ilvl w:val="0"/>
          <w:numId w:val="18"/>
        </w:numPr>
        <w:overflowPunct w:val="0"/>
        <w:autoSpaceDE w:val="0"/>
        <w:autoSpaceDN w:val="0"/>
        <w:adjustRightInd w:val="0"/>
        <w:spacing w:after="0" w:line="240" w:lineRule="auto"/>
        <w:jc w:val="both"/>
        <w:rPr>
          <w:bCs/>
        </w:rPr>
      </w:pPr>
      <w:r>
        <w:rPr>
          <w:bCs/>
        </w:rPr>
        <w:t xml:space="preserve">Scenario E: Dual connectivity between licensed band NR and NR-U. </w:t>
      </w:r>
    </w:p>
    <w:p w14:paraId="79D4300C" w14:textId="77777777" w:rsidR="000F436C" w:rsidRDefault="000F436C" w:rsidP="00030886">
      <w:pPr>
        <w:ind w:right="-22"/>
        <w:rPr>
          <w:rFonts w:eastAsia="Calibri" w:cs="Times New Roman"/>
          <w:szCs w:val="20"/>
        </w:rPr>
      </w:pPr>
    </w:p>
    <w:p w14:paraId="5C44384A" w14:textId="02DDA730" w:rsidR="00030886" w:rsidRDefault="00030886" w:rsidP="00030886">
      <w:pPr>
        <w:ind w:right="-22"/>
        <w:rPr>
          <w:rFonts w:eastAsia="Calibri" w:cs="Times New Roman"/>
          <w:szCs w:val="20"/>
          <w:lang w:val="en-GB"/>
        </w:rPr>
      </w:pPr>
      <w:r w:rsidRPr="00030886">
        <w:rPr>
          <w:rFonts w:eastAsia="Calibri" w:cs="Times New Roman"/>
          <w:noProof/>
          <w:szCs w:val="20"/>
          <w:lang w:val="en-GB"/>
        </w:rPr>
        <mc:AlternateContent>
          <mc:Choice Requires="wps">
            <w:drawing>
              <wp:anchor distT="45720" distB="45720" distL="114300" distR="114300" simplePos="0" relativeHeight="251659264" behindDoc="0" locked="0" layoutInCell="1" allowOverlap="1" wp14:anchorId="7EFA57F0" wp14:editId="650C8AAC">
                <wp:simplePos x="0" y="0"/>
                <wp:positionH relativeFrom="column">
                  <wp:posOffset>82550</wp:posOffset>
                </wp:positionH>
                <wp:positionV relativeFrom="paragraph">
                  <wp:posOffset>850900</wp:posOffset>
                </wp:positionV>
                <wp:extent cx="6076950" cy="1257300"/>
                <wp:effectExtent l="0" t="0" r="19050"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257300"/>
                        </a:xfrm>
                        <a:prstGeom prst="rect">
                          <a:avLst/>
                        </a:prstGeom>
                        <a:solidFill>
                          <a:srgbClr val="FFFFFF"/>
                        </a:solidFill>
                        <a:ln w="9525">
                          <a:solidFill>
                            <a:srgbClr val="000000"/>
                          </a:solidFill>
                          <a:miter lim="800000"/>
                          <a:headEnd/>
                          <a:tailEnd/>
                        </a:ln>
                      </wps:spPr>
                      <wps:txbx>
                        <w:txbxContent>
                          <w:p w14:paraId="652F48F3" w14:textId="77777777" w:rsidR="00030886" w:rsidRDefault="00030886" w:rsidP="00030886">
                            <w:pPr>
                              <w:rPr>
                                <w:rFonts w:cs="Times"/>
                                <w:szCs w:val="20"/>
                                <w:lang w:eastAsia="x-none"/>
                              </w:rPr>
                            </w:pPr>
                            <w:r>
                              <w:rPr>
                                <w:rFonts w:cs="Times"/>
                                <w:szCs w:val="20"/>
                                <w:highlight w:val="green"/>
                                <w:lang w:eastAsia="x-none"/>
                              </w:rPr>
                              <w:t>Agreement:</w:t>
                            </w:r>
                          </w:p>
                          <w:p w14:paraId="620E8823" w14:textId="77777777" w:rsidR="00030886" w:rsidRDefault="00030886" w:rsidP="00030886">
                            <w:pPr>
                              <w:pStyle w:val="ListParagraph"/>
                              <w:numPr>
                                <w:ilvl w:val="0"/>
                                <w:numId w:val="16"/>
                              </w:numPr>
                              <w:overflowPunct w:val="0"/>
                              <w:autoSpaceDE w:val="0"/>
                              <w:autoSpaceDN w:val="0"/>
                              <w:adjustRightInd w:val="0"/>
                              <w:spacing w:after="180" w:line="240" w:lineRule="auto"/>
                              <w:rPr>
                                <w:rFonts w:cs="Times New Roman"/>
                                <w:szCs w:val="20"/>
                                <w:lang w:eastAsia="ja-JP"/>
                              </w:rPr>
                            </w:pPr>
                            <w:r>
                              <w:t>For wideband operation in DL with a single serving cell operation within a carrier with bandwidth larger than 20 MHz</w:t>
                            </w:r>
                          </w:p>
                          <w:p w14:paraId="62899C33" w14:textId="77777777" w:rsidR="00030886" w:rsidRDefault="00030886" w:rsidP="00030886">
                            <w:pPr>
                              <w:pStyle w:val="ListParagraph"/>
                              <w:numPr>
                                <w:ilvl w:val="1"/>
                                <w:numId w:val="16"/>
                              </w:numPr>
                              <w:overflowPunct w:val="0"/>
                              <w:autoSpaceDE w:val="0"/>
                              <w:autoSpaceDN w:val="0"/>
                              <w:adjustRightInd w:val="0"/>
                              <w:spacing w:after="180" w:line="240" w:lineRule="auto"/>
                            </w:pPr>
                            <w:r>
                              <w:t xml:space="preserve">Multiple BWPs can be configured, single BWP activated, </w:t>
                            </w:r>
                            <w:proofErr w:type="spellStart"/>
                            <w:r>
                              <w:t>gNB</w:t>
                            </w:r>
                            <w:proofErr w:type="spellEnd"/>
                            <w:r>
                              <w:t xml:space="preserve"> may transmit PDSCH on parts or whole of single active BWP where CCA is successful at </w:t>
                            </w:r>
                            <w:proofErr w:type="spellStart"/>
                            <w:r>
                              <w:t>gNB</w:t>
                            </w:r>
                            <w:proofErr w:type="spellEnd"/>
                            <w:r>
                              <w:t xml:space="preserve"> (i.e., option 2 and 3 from previous agreement)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EFA57F0" id="_x0000_t202" coordsize="21600,21600" o:spt="202" path="m,l,21600r21600,l21600,xe">
                <v:stroke joinstyle="miter"/>
                <v:path gradientshapeok="t" o:connecttype="rect"/>
              </v:shapetype>
              <v:shape id="Text Box 2" o:spid="_x0000_s1026" type="#_x0000_t202" style="position:absolute;margin-left:6.5pt;margin-top:67pt;width:478.5pt;height:9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">
                <v:textbox>
                  <w:txbxContent>
                    <w:p w14:paraId="652F48F3" w14:textId="77777777" w:rsidR="00030886" w:rsidRDefault="00030886" w:rsidP="00030886">
                      <w:pPr>
                        <w:rPr>
                          <w:rFonts w:cs="Times"/>
                          <w:szCs w:val="20"/>
                          <w:lang w:eastAsia="x-none"/>
                        </w:rPr>
                      </w:pPr>
                      <w:r>
                        <w:rPr>
                          <w:rFonts w:cs="Times"/>
                          <w:szCs w:val="20"/>
                          <w:highlight w:val="green"/>
                          <w:lang w:eastAsia="x-none"/>
                        </w:rPr>
                        <w:t>Agreement:</w:t>
                      </w:r>
                    </w:p>
                    <w:p w14:paraId="620E8823" w14:textId="77777777" w:rsidR="00030886" w:rsidRDefault="00030886" w:rsidP="00030886">
                      <w:pPr>
                        <w:pStyle w:val="ListParagraph"/>
                        <w:numPr>
                          <w:ilvl w:val="0"/>
                          <w:numId w:val="16"/>
                        </w:numPr>
                        <w:overflowPunct w:val="0"/>
                        <w:autoSpaceDE w:val="0"/>
                        <w:autoSpaceDN w:val="0"/>
                        <w:adjustRightInd w:val="0"/>
                        <w:spacing w:after="180" w:line="240" w:lineRule="auto"/>
                        <w:rPr>
                          <w:rFonts w:cs="Times New Roman"/>
                          <w:szCs w:val="20"/>
                          <w:lang w:eastAsia="ja-JP"/>
                        </w:rPr>
                      </w:pPr>
                      <w:r>
                        <w:t>For wideband operation in DL with a single serving cell operation within a carrier with bandwidth larger than 20 MHz</w:t>
                      </w:r>
                    </w:p>
                    <w:p w14:paraId="62899C33" w14:textId="77777777" w:rsidR="00030886" w:rsidRDefault="00030886" w:rsidP="00030886">
                      <w:pPr>
                        <w:pStyle w:val="ListParagraph"/>
                        <w:numPr>
                          <w:ilvl w:val="1"/>
                          <w:numId w:val="16"/>
                        </w:numPr>
                        <w:overflowPunct w:val="0"/>
                        <w:autoSpaceDE w:val="0"/>
                        <w:autoSpaceDN w:val="0"/>
                        <w:adjustRightInd w:val="0"/>
                        <w:spacing w:after="180" w:line="240" w:lineRule="auto"/>
                      </w:pPr>
                      <w:r>
                        <w:t xml:space="preserve">Multiple BWPs can be configured, single BWP activated, </w:t>
                      </w:r>
                      <w:proofErr w:type="spellStart"/>
                      <w:r>
                        <w:t>gNB</w:t>
                      </w:r>
                      <w:proofErr w:type="spellEnd"/>
                      <w:r>
                        <w:t xml:space="preserve"> may transmit PDSCH on parts or whole of single active BWP where CCA is successful at </w:t>
                      </w:r>
                      <w:proofErr w:type="spellStart"/>
                      <w:r>
                        <w:t>gNB</w:t>
                      </w:r>
                      <w:proofErr w:type="spellEnd"/>
                      <w:r>
                        <w:t xml:space="preserve"> (i.e., option 2 and 3 from previous agreement)</w:t>
                      </w:r>
                    </w:p>
                  </w:txbxContent>
                </v:textbox>
                <w10:wrap type="square"/>
              </v:shape>
            </w:pict>
          </mc:Fallback>
        </mc:AlternateContent>
      </w:r>
      <w:r w:rsidR="000F436C">
        <w:rPr>
          <w:rFonts w:eastAsia="Calibri" w:cs="Times New Roman"/>
          <w:szCs w:val="20"/>
          <w:lang w:val="en-GB"/>
        </w:rPr>
        <w:t xml:space="preserve">Bandwidth adaptation is enabled in NR Rel-15 by the concept of bandwidth part (BWP) switch. </w:t>
      </w:r>
      <w:r>
        <w:rPr>
          <w:rFonts w:eastAsia="Calibri" w:cs="Times New Roman"/>
          <w:szCs w:val="20"/>
          <w:lang w:val="en-GB"/>
        </w:rPr>
        <w:t xml:space="preserve">In TS 38.133, the active </w:t>
      </w:r>
      <w:r w:rsidR="000F436C">
        <w:rPr>
          <w:rFonts w:eastAsia="Calibri" w:cs="Times New Roman"/>
          <w:szCs w:val="20"/>
          <w:lang w:val="en-GB"/>
        </w:rPr>
        <w:t>BWP</w:t>
      </w:r>
      <w:r>
        <w:rPr>
          <w:rFonts w:eastAsia="Calibri" w:cs="Times New Roman"/>
          <w:szCs w:val="20"/>
          <w:lang w:val="en-GB"/>
        </w:rPr>
        <w:t xml:space="preserve"> switch delay requirements apply for any UE configured with more than one </w:t>
      </w:r>
      <w:r w:rsidR="00B66964">
        <w:rPr>
          <w:rFonts w:eastAsia="Calibri" w:cs="Times New Roman"/>
          <w:szCs w:val="20"/>
          <w:lang w:val="en-GB"/>
        </w:rPr>
        <w:t>bandwidth part (</w:t>
      </w:r>
      <w:r>
        <w:rPr>
          <w:rFonts w:eastAsia="Calibri" w:cs="Times New Roman"/>
          <w:szCs w:val="20"/>
          <w:lang w:val="en-GB"/>
        </w:rPr>
        <w:t>BWP</w:t>
      </w:r>
      <w:r w:rsidR="00B66964">
        <w:rPr>
          <w:rFonts w:eastAsia="Calibri" w:cs="Times New Roman"/>
          <w:szCs w:val="20"/>
          <w:lang w:val="en-GB"/>
        </w:rPr>
        <w:t xml:space="preserve">) </w:t>
      </w:r>
      <w:r>
        <w:rPr>
          <w:rFonts w:eastAsia="Calibri" w:cs="Times New Roman"/>
          <w:szCs w:val="20"/>
          <w:lang w:val="en-GB"/>
        </w:rPr>
        <w:t xml:space="preserve">on </w:t>
      </w:r>
      <w:proofErr w:type="spellStart"/>
      <w:r>
        <w:rPr>
          <w:rFonts w:eastAsia="Calibri" w:cs="Times New Roman"/>
          <w:szCs w:val="20"/>
          <w:lang w:val="en-GB"/>
        </w:rPr>
        <w:t>PCell</w:t>
      </w:r>
      <w:proofErr w:type="spellEnd"/>
      <w:r>
        <w:rPr>
          <w:rFonts w:eastAsia="Calibri" w:cs="Times New Roman"/>
          <w:szCs w:val="20"/>
          <w:lang w:val="en-GB"/>
        </w:rPr>
        <w:t xml:space="preserve">, activated </w:t>
      </w:r>
      <w:proofErr w:type="spellStart"/>
      <w:r>
        <w:rPr>
          <w:rFonts w:eastAsia="Calibri" w:cs="Times New Roman"/>
          <w:szCs w:val="20"/>
          <w:lang w:val="en-GB"/>
        </w:rPr>
        <w:t>SCells</w:t>
      </w:r>
      <w:proofErr w:type="spellEnd"/>
      <w:r>
        <w:rPr>
          <w:rFonts w:eastAsia="Calibri" w:cs="Times New Roman"/>
          <w:szCs w:val="20"/>
          <w:lang w:val="en-GB"/>
        </w:rPr>
        <w:t xml:space="preserve"> in Standalone NR or NE-DC, </w:t>
      </w:r>
      <w:proofErr w:type="spellStart"/>
      <w:r>
        <w:rPr>
          <w:rFonts w:eastAsia="Calibri" w:cs="Times New Roman"/>
          <w:szCs w:val="20"/>
          <w:lang w:val="en-GB"/>
        </w:rPr>
        <w:t>PCell</w:t>
      </w:r>
      <w:proofErr w:type="spellEnd"/>
      <w:r>
        <w:rPr>
          <w:rFonts w:eastAsia="Calibri" w:cs="Times New Roman"/>
          <w:szCs w:val="20"/>
          <w:lang w:val="en-GB"/>
        </w:rPr>
        <w:t xml:space="preserve">, </w:t>
      </w:r>
      <w:proofErr w:type="spellStart"/>
      <w:r>
        <w:rPr>
          <w:rFonts w:eastAsia="Calibri" w:cs="Times New Roman"/>
          <w:szCs w:val="20"/>
          <w:lang w:val="en-GB"/>
        </w:rPr>
        <w:t>PSCell</w:t>
      </w:r>
      <w:proofErr w:type="spellEnd"/>
      <w:r>
        <w:rPr>
          <w:rFonts w:eastAsia="Calibri" w:cs="Times New Roman"/>
          <w:szCs w:val="20"/>
          <w:lang w:val="en-GB"/>
        </w:rPr>
        <w:t xml:space="preserve"> or any activated </w:t>
      </w:r>
      <w:proofErr w:type="spellStart"/>
      <w:r>
        <w:rPr>
          <w:rFonts w:eastAsia="Calibri" w:cs="Times New Roman"/>
          <w:szCs w:val="20"/>
          <w:lang w:val="en-GB"/>
        </w:rPr>
        <w:t>SCell</w:t>
      </w:r>
      <w:proofErr w:type="spellEnd"/>
      <w:r>
        <w:rPr>
          <w:rFonts w:eastAsia="Calibri" w:cs="Times New Roman"/>
          <w:szCs w:val="20"/>
          <w:lang w:val="en-GB"/>
        </w:rPr>
        <w:t xml:space="preserve"> SCG in EN-DC. In RAN1 AH1901</w:t>
      </w:r>
      <w:r w:rsidR="00D72E4F">
        <w:rPr>
          <w:rFonts w:eastAsia="Calibri" w:cs="Times New Roman"/>
          <w:szCs w:val="20"/>
          <w:lang w:val="en-GB"/>
        </w:rPr>
        <w:t xml:space="preserve"> </w:t>
      </w:r>
      <w:r w:rsidR="00D72E4F">
        <w:rPr>
          <w:rFonts w:eastAsia="Calibri" w:cs="Times New Roman"/>
          <w:szCs w:val="20"/>
          <w:lang w:val="en-GB"/>
        </w:rPr>
        <w:fldChar w:fldCharType="begin"/>
      </w:r>
      <w:r w:rsidR="00D72E4F">
        <w:rPr>
          <w:rFonts w:eastAsia="Calibri" w:cs="Times New Roman"/>
          <w:szCs w:val="20"/>
          <w:lang w:val="en-GB"/>
        </w:rPr>
        <w:instrText xml:space="preserve"> REF _Ref15379293 \r \h </w:instrText>
      </w:r>
      <w:r w:rsidR="00D72E4F">
        <w:rPr>
          <w:rFonts w:eastAsia="Calibri" w:cs="Times New Roman"/>
          <w:szCs w:val="20"/>
          <w:lang w:val="en-GB"/>
        </w:rPr>
      </w:r>
      <w:r w:rsidR="00D72E4F">
        <w:rPr>
          <w:rFonts w:eastAsia="Calibri" w:cs="Times New Roman"/>
          <w:szCs w:val="20"/>
          <w:lang w:val="en-GB"/>
        </w:rPr>
        <w:fldChar w:fldCharType="separate"/>
      </w:r>
      <w:r w:rsidR="00D72E4F">
        <w:rPr>
          <w:rFonts w:eastAsia="Calibri" w:cs="Times New Roman"/>
          <w:szCs w:val="20"/>
          <w:lang w:val="en-GB"/>
        </w:rPr>
        <w:t>[1]</w:t>
      </w:r>
      <w:r w:rsidR="00D72E4F">
        <w:rPr>
          <w:rFonts w:eastAsia="Calibri" w:cs="Times New Roman"/>
          <w:szCs w:val="20"/>
          <w:lang w:val="en-GB"/>
        </w:rPr>
        <w:fldChar w:fldCharType="end"/>
      </w:r>
      <w:r>
        <w:rPr>
          <w:rFonts w:eastAsia="Calibri" w:cs="Times New Roman"/>
          <w:szCs w:val="20"/>
          <w:lang w:val="en-GB"/>
        </w:rPr>
        <w:t>, it was agreed that multiple BWPs can be configured also in NR-U, therefore the</w:t>
      </w:r>
      <w:r w:rsidR="000F436C">
        <w:rPr>
          <w:rFonts w:eastAsia="Calibri" w:cs="Times New Roman"/>
          <w:szCs w:val="20"/>
          <w:lang w:val="en-GB"/>
        </w:rPr>
        <w:t>se</w:t>
      </w:r>
      <w:r>
        <w:rPr>
          <w:rFonts w:eastAsia="Calibri" w:cs="Times New Roman"/>
          <w:szCs w:val="20"/>
          <w:lang w:val="en-GB"/>
        </w:rPr>
        <w:t xml:space="preserve"> requirements will be needed in NR-U Rel-16</w:t>
      </w:r>
      <w:r w:rsidR="000F436C">
        <w:rPr>
          <w:rFonts w:eastAsia="Calibri" w:cs="Times New Roman"/>
          <w:szCs w:val="20"/>
          <w:lang w:val="en-GB"/>
        </w:rPr>
        <w:t>, for all NR-U scenarios.</w:t>
      </w:r>
    </w:p>
    <w:p w14:paraId="40305982" w14:textId="147B7CB0" w:rsidR="00030886" w:rsidRDefault="00030886" w:rsidP="00841BCD">
      <w:pPr>
        <w:ind w:right="-22"/>
        <w:rPr>
          <w:rFonts w:eastAsia="Calibri" w:cs="Times New Roman"/>
          <w:szCs w:val="20"/>
          <w:lang w:val="en-GB"/>
        </w:rPr>
      </w:pPr>
    </w:p>
    <w:p w14:paraId="224D267F" w14:textId="59CED327" w:rsidR="00D72E4F" w:rsidRDefault="00D72E4F" w:rsidP="00841BCD">
      <w:pPr>
        <w:ind w:right="-22"/>
        <w:rPr>
          <w:rFonts w:eastAsia="Calibri" w:cs="Times New Roman"/>
          <w:szCs w:val="20"/>
          <w:lang w:val="en-GB"/>
        </w:rPr>
      </w:pPr>
      <w:r>
        <w:rPr>
          <w:rFonts w:eastAsia="Calibri" w:cs="Times New Roman"/>
          <w:szCs w:val="20"/>
          <w:lang w:val="en-GB"/>
        </w:rPr>
        <w:t xml:space="preserve">Additionally, in the way forward agreed in </w:t>
      </w:r>
      <w:r>
        <w:rPr>
          <w:rFonts w:eastAsia="Calibri" w:cs="Times New Roman"/>
          <w:szCs w:val="20"/>
          <w:lang w:val="en-GB"/>
        </w:rPr>
        <w:fldChar w:fldCharType="begin"/>
      </w:r>
      <w:r>
        <w:rPr>
          <w:rFonts w:eastAsia="Calibri" w:cs="Times New Roman"/>
          <w:szCs w:val="20"/>
          <w:lang w:val="en-GB"/>
        </w:rPr>
        <w:instrText xml:space="preserve"> REF _Ref15378955 \r \h </w:instrText>
      </w:r>
      <w:r>
        <w:rPr>
          <w:rFonts w:eastAsia="Calibri" w:cs="Times New Roman"/>
          <w:szCs w:val="20"/>
          <w:lang w:val="en-GB"/>
        </w:rPr>
      </w:r>
      <w:r>
        <w:rPr>
          <w:rFonts w:eastAsia="Calibri" w:cs="Times New Roman"/>
          <w:szCs w:val="20"/>
          <w:lang w:val="en-GB"/>
        </w:rPr>
        <w:fldChar w:fldCharType="separate"/>
      </w:r>
      <w:r>
        <w:rPr>
          <w:rFonts w:eastAsia="Calibri" w:cs="Times New Roman"/>
          <w:szCs w:val="20"/>
          <w:lang w:val="en-GB"/>
        </w:rPr>
        <w:t>[2]</w:t>
      </w:r>
      <w:r>
        <w:rPr>
          <w:rFonts w:eastAsia="Calibri" w:cs="Times New Roman"/>
          <w:szCs w:val="20"/>
          <w:lang w:val="en-GB"/>
        </w:rPr>
        <w:fldChar w:fldCharType="end"/>
      </w:r>
      <w:r>
        <w:rPr>
          <w:rFonts w:eastAsia="Calibri" w:cs="Times New Roman"/>
          <w:szCs w:val="20"/>
          <w:lang w:val="en-GB"/>
        </w:rPr>
        <w:t xml:space="preserve">, RAN4 agreed that requirements for active BWP switch are needed for NR-U. It was listed as TBD if the requirements are the same or different from Rel-15 NR. </w:t>
      </w:r>
    </w:p>
    <w:p w14:paraId="19E695EA" w14:textId="77777777" w:rsidR="00030886" w:rsidRDefault="00030886" w:rsidP="00841BCD">
      <w:pPr>
        <w:ind w:right="-22"/>
        <w:rPr>
          <w:rFonts w:eastAsia="Calibri" w:cs="Times New Roman"/>
          <w:szCs w:val="20"/>
          <w:lang w:val="en-GB"/>
        </w:rPr>
      </w:pPr>
      <w:r>
        <w:rPr>
          <w:rFonts w:eastAsia="Calibri" w:cs="Times New Roman"/>
          <w:szCs w:val="20"/>
          <w:lang w:val="en-GB"/>
        </w:rPr>
        <w:t>In this paper, we discuss the Active BWP Switch delay requirements in NR-U.</w:t>
      </w:r>
    </w:p>
    <w:p w14:paraId="3E11E2A3" w14:textId="77777777" w:rsidR="003B659E" w:rsidRPr="00841BCD" w:rsidRDefault="003B659E" w:rsidP="0008612A">
      <w:pPr>
        <w:pStyle w:val="RAN4H1"/>
      </w:pPr>
      <w:r>
        <w:t>2</w:t>
      </w:r>
      <w:r w:rsidRPr="00841BCD">
        <w:tab/>
      </w:r>
      <w:r>
        <w:t>Discussion</w:t>
      </w:r>
    </w:p>
    <w:p w14:paraId="4F305CA2" w14:textId="77777777" w:rsidR="00956958" w:rsidRDefault="00C37FF2" w:rsidP="000F436C">
      <w:r>
        <w:t>The main difference between NR and NR-U is that</w:t>
      </w:r>
      <w:r w:rsidR="00C13C4D">
        <w:t xml:space="preserve"> </w:t>
      </w:r>
      <w:r>
        <w:t xml:space="preserve">in unlicensed bands before sending any signal over the wireless channel, there is the need to check the </w:t>
      </w:r>
      <w:r w:rsidR="00956958">
        <w:t>channel vacancy, by means of a listen-before-talk (LBT) procedure. In case the channel is occupied, it is necessary to wait until the channel is vacant again, and this might impact on the procedures, delays and times for measurements specified in TS 38.133. Therefore, for each requirement to be specified for NR-U it is necessary to evaluate if there will be any impact due to the uncertainty of the LBT outcome.</w:t>
      </w:r>
    </w:p>
    <w:p w14:paraId="0D5E8F64" w14:textId="77777777" w:rsidR="000F436C" w:rsidRDefault="00C37FF2" w:rsidP="000F436C">
      <w:r>
        <w:t>In NR Rel-15, switching between configured BWPs happens by means of:</w:t>
      </w:r>
    </w:p>
    <w:p w14:paraId="7FAFAF50" w14:textId="77777777" w:rsidR="00956958" w:rsidRDefault="00956958" w:rsidP="00956958">
      <w:pPr>
        <w:pStyle w:val="ListParagraph"/>
        <w:numPr>
          <w:ilvl w:val="0"/>
          <w:numId w:val="19"/>
        </w:numPr>
      </w:pPr>
      <w:r>
        <w:t>DCI</w:t>
      </w:r>
    </w:p>
    <w:p w14:paraId="11E594EA" w14:textId="77777777" w:rsidR="00956958" w:rsidRDefault="00956958" w:rsidP="00956958">
      <w:pPr>
        <w:pStyle w:val="ListParagraph"/>
        <w:numPr>
          <w:ilvl w:val="0"/>
          <w:numId w:val="19"/>
        </w:numPr>
      </w:pPr>
      <w:r>
        <w:t xml:space="preserve">Inactivity timer </w:t>
      </w:r>
    </w:p>
    <w:p w14:paraId="2F8E8A6F" w14:textId="77777777" w:rsidR="00C37FF2" w:rsidRDefault="00C37FF2" w:rsidP="00C37FF2">
      <w:pPr>
        <w:pStyle w:val="ListParagraph"/>
        <w:numPr>
          <w:ilvl w:val="0"/>
          <w:numId w:val="19"/>
        </w:numPr>
      </w:pPr>
      <w:r>
        <w:t xml:space="preserve">RRC signaling, </w:t>
      </w:r>
    </w:p>
    <w:p w14:paraId="0A618B5C" w14:textId="77777777" w:rsidR="00C37FF2" w:rsidRDefault="00C37FF2" w:rsidP="00C37FF2">
      <w:pPr>
        <w:pStyle w:val="ListParagraph"/>
        <w:numPr>
          <w:ilvl w:val="0"/>
          <w:numId w:val="19"/>
        </w:numPr>
      </w:pPr>
      <w:r>
        <w:lastRenderedPageBreak/>
        <w:t>Upon initiation of random access.</w:t>
      </w:r>
    </w:p>
    <w:p w14:paraId="5B2C0364" w14:textId="2FDC93EB" w:rsidR="000911B9" w:rsidRDefault="001E0314" w:rsidP="00C13C4D">
      <w:r>
        <w:t>I</w:t>
      </w:r>
      <w:r w:rsidR="00FC3EDE">
        <w:t>n NR Rel-15, a BWP switching delay to account for the</w:t>
      </w:r>
      <w:r w:rsidR="009C7A65">
        <w:t xml:space="preserve"> time it takes for the UE to switch from one BWP to another </w:t>
      </w:r>
      <w:r w:rsidR="00FC3EDE">
        <w:t>was introduced in TS 38.133.</w:t>
      </w:r>
      <w:r w:rsidR="00C13C4D">
        <w:t xml:space="preserve"> The BWP switch delay is the same for DCI based and timer-based BWP switch, and </w:t>
      </w:r>
      <w:r w:rsidR="009C7A65">
        <w:t>both are</w:t>
      </w:r>
      <w:r w:rsidR="00C13C4D">
        <w:t xml:space="preserve"> specified from the DL slot n </w:t>
      </w:r>
      <w:r w:rsidR="00C13C4D" w:rsidRPr="000911B9">
        <w:rPr>
          <w:i/>
        </w:rPr>
        <w:t>in which the UE receives the BWP switching reques</w:t>
      </w:r>
      <w:r w:rsidR="009C7A65">
        <w:rPr>
          <w:i/>
        </w:rPr>
        <w:t xml:space="preserve">t, </w:t>
      </w:r>
      <w:r w:rsidR="009C7A65" w:rsidRPr="00DA0B49">
        <w:t>or in which the</w:t>
      </w:r>
      <w:r w:rsidR="009C7A65">
        <w:rPr>
          <w:i/>
        </w:rPr>
        <w:t xml:space="preserve"> </w:t>
      </w:r>
      <w:proofErr w:type="spellStart"/>
      <w:r w:rsidR="009C7A65">
        <w:rPr>
          <w:i/>
        </w:rPr>
        <w:t>bwp-InactivityTimer</w:t>
      </w:r>
      <w:proofErr w:type="spellEnd"/>
      <w:r w:rsidR="009C7A65">
        <w:rPr>
          <w:i/>
        </w:rPr>
        <w:t xml:space="preserve"> </w:t>
      </w:r>
      <w:r w:rsidR="009C7A65" w:rsidRPr="00DA0B49">
        <w:t>expires</w:t>
      </w:r>
      <w:r w:rsidR="009C7A65">
        <w:t xml:space="preserve">, </w:t>
      </w:r>
      <w:r w:rsidR="00C13C4D">
        <w:t>until the time the UE is able either to receive PDSCH or transmit PUSCH on the new BWP</w:t>
      </w:r>
      <w:r w:rsidR="000911B9">
        <w:t>.</w:t>
      </w:r>
    </w:p>
    <w:p w14:paraId="2B362B5F" w14:textId="148DB430" w:rsidR="000911B9" w:rsidRDefault="000911B9" w:rsidP="000911B9">
      <w:r>
        <w:t>Additionally, the BWP switching delay</w:t>
      </w:r>
      <w:r w:rsidR="008A589C">
        <w:t xml:space="preserve"> triggered by DCI</w:t>
      </w:r>
      <w:r>
        <w:t xml:space="preserve"> does not depend on any additional message exchange between the UE and the network, since it is calculated from the time the UE receives the switching request</w:t>
      </w:r>
      <w:r w:rsidR="001E0314">
        <w:t xml:space="preserve"> (in case of DCI-based switching)</w:t>
      </w:r>
      <w:r w:rsidR="00801B2C">
        <w:t xml:space="preserve"> to the time the UE is ready to recei</w:t>
      </w:r>
      <w:r w:rsidR="00CB7F67">
        <w:t>v</w:t>
      </w:r>
      <w:r w:rsidR="00801B2C">
        <w:t>e PDSCH or transmit PUSCH on the new BWP</w:t>
      </w:r>
      <w:r>
        <w:t>. Therefore, no matter how many LBT failures occurred in sending the switching command to the UE, the requirement only applies when the DL LBT is successful, and the UE receives the BWP switching request.</w:t>
      </w:r>
      <w:r w:rsidR="006912B9">
        <w:t xml:space="preserve"> </w:t>
      </w:r>
    </w:p>
    <w:p w14:paraId="7CF54B0A" w14:textId="7E41D396" w:rsidR="005E6CF6" w:rsidRDefault="005E6CF6" w:rsidP="00DA0B49">
      <w:pPr>
        <w:pStyle w:val="RAN4observation0"/>
      </w:pPr>
      <w:r>
        <w:t xml:space="preserve">The </w:t>
      </w:r>
      <w:r w:rsidR="008A589C">
        <w:t xml:space="preserve">BWP switching </w:t>
      </w:r>
      <w:r>
        <w:t>delay</w:t>
      </w:r>
      <w:r w:rsidR="008A589C">
        <w:t xml:space="preserve"> triggered by the DCI</w:t>
      </w:r>
      <w:r>
        <w:t xml:space="preserve"> is measured from the time in which the UE receives the </w:t>
      </w:r>
      <w:r w:rsidR="008A589C">
        <w:t>DCI</w:t>
      </w:r>
      <w:r w:rsidR="00BC766B">
        <w:t xml:space="preserve"> until it is ready to receive or transmit on the new BWP</w:t>
      </w:r>
      <w:r>
        <w:t xml:space="preserve">; therefore, it does not depend on the LBT outcome. </w:t>
      </w:r>
    </w:p>
    <w:p w14:paraId="582AA05F" w14:textId="77777777" w:rsidR="000911B9" w:rsidRDefault="000911B9" w:rsidP="000911B9">
      <w:pPr>
        <w:pStyle w:val="RAN4proposal"/>
      </w:pPr>
      <w:r>
        <w:t>In NR-U Rel-16 the requirements for DCI based BWP switch delay are the same as in NR Rel-15.</w:t>
      </w:r>
    </w:p>
    <w:p w14:paraId="0AC441DB" w14:textId="1A00EBCA" w:rsidR="00D72E4F" w:rsidRDefault="006912B9" w:rsidP="000911B9">
      <w:r w:rsidRPr="006912B9">
        <w:t>For timer-based BWP switch, t</w:t>
      </w:r>
      <w:r>
        <w:t xml:space="preserve">here have been discussions in RAN2 about the behavior of the </w:t>
      </w:r>
      <w:proofErr w:type="spellStart"/>
      <w:r w:rsidRPr="006912B9">
        <w:rPr>
          <w:i/>
        </w:rPr>
        <w:t>bwp-InactivityTimer</w:t>
      </w:r>
      <w:proofErr w:type="spellEnd"/>
      <w:r w:rsidR="009C7A65">
        <w:t xml:space="preserve"> due </w:t>
      </w:r>
      <w:proofErr w:type="gramStart"/>
      <w:r w:rsidR="009C7A65">
        <w:t xml:space="preserve">to </w:t>
      </w:r>
      <w:r w:rsidR="00D60716">
        <w:t xml:space="preserve"> the</w:t>
      </w:r>
      <w:proofErr w:type="gramEnd"/>
      <w:r w:rsidR="00D60716">
        <w:t xml:space="preserve"> LBT procedure. </w:t>
      </w:r>
      <w:r>
        <w:t xml:space="preserve">However, </w:t>
      </w:r>
      <w:proofErr w:type="gramStart"/>
      <w:r>
        <w:t>similar to</w:t>
      </w:r>
      <w:proofErr w:type="gramEnd"/>
      <w:r>
        <w:t xml:space="preserve"> the DCI based switch, the delay in RAN4 is accounted from the moment in which the inactivity timer is expired (disregarding the reasons for restarting or stopping the timer, which are subject of RAN2</w:t>
      </w:r>
      <w:r w:rsidR="008A589C">
        <w:t xml:space="preserve"> or RAN1</w:t>
      </w:r>
      <w:r>
        <w:t xml:space="preserve"> discussions</w:t>
      </w:r>
      <w:r w:rsidR="00760FDB">
        <w:t xml:space="preserve">). </w:t>
      </w:r>
    </w:p>
    <w:p w14:paraId="261F1CF1" w14:textId="44413D16" w:rsidR="00D72E4F" w:rsidRDefault="00D72E4F" w:rsidP="00D72E4F">
      <w:pPr>
        <w:pStyle w:val="RAN4observation0"/>
      </w:pPr>
      <w:r>
        <w:t xml:space="preserve">In timer-based BWP switch, the delay is measured from the time in which the timer expires; therefore, it does not depend on the LBT outcome. </w:t>
      </w:r>
    </w:p>
    <w:p w14:paraId="76573393" w14:textId="7E57D646" w:rsidR="000911B9" w:rsidRPr="006912B9" w:rsidRDefault="006912B9" w:rsidP="000911B9">
      <w:r>
        <w:t>Therefore, it is proposed</w:t>
      </w:r>
      <w:r w:rsidR="00760FDB">
        <w:t>:</w:t>
      </w:r>
    </w:p>
    <w:p w14:paraId="0A629128" w14:textId="306263B3" w:rsidR="006912B9" w:rsidRDefault="006912B9" w:rsidP="006912B9">
      <w:pPr>
        <w:pStyle w:val="RAN4proposal"/>
      </w:pPr>
      <w:r>
        <w:t xml:space="preserve">In NR-U Rel-16 the requirements for </w:t>
      </w:r>
      <w:r w:rsidR="009C7A65">
        <w:t>timer-</w:t>
      </w:r>
      <w:r>
        <w:t>based BWP switch delay are the same as in NR Rel-15.</w:t>
      </w:r>
    </w:p>
    <w:p w14:paraId="02675DAA" w14:textId="77777777" w:rsidR="006D39F4" w:rsidRDefault="00760FDB" w:rsidP="00D750C4">
      <w:r>
        <w:t xml:space="preserve">For RRC based BWP switch delay, </w:t>
      </w:r>
      <w:r w:rsidR="00D750C4">
        <w:t xml:space="preserve">TS 38.133 defines the BWP switching delay </w:t>
      </w:r>
      <w:r w:rsidR="006D39F4">
        <w:t xml:space="preserve">as the time between the UE receives the BWP switch request, until the time in which the </w:t>
      </w:r>
      <w:r w:rsidR="006D39F4" w:rsidRPr="005B51C2">
        <w:rPr>
          <w:u w:val="single"/>
        </w:rPr>
        <w:t>UE shall be able</w:t>
      </w:r>
      <w:r w:rsidR="006D39F4">
        <w:t xml:space="preserve"> to receive PDSCH/PDCCH</w:t>
      </w:r>
      <w:r w:rsidR="005B51C2">
        <w:t xml:space="preserve"> or transmit PUSCH on the new BWP. The </w:t>
      </w:r>
      <w:r w:rsidR="006D39F4">
        <w:t xml:space="preserve">requirement </w:t>
      </w:r>
      <w:r w:rsidR="005B51C2">
        <w:t>is</w:t>
      </w:r>
      <w:r w:rsidR="006D39F4">
        <w:t>:</w:t>
      </w:r>
    </w:p>
    <w:p w14:paraId="5280E3BA" w14:textId="77777777" w:rsidR="006D39F4" w:rsidRPr="006D39F4" w:rsidRDefault="006D39F4" w:rsidP="006D39F4">
      <w:pPr>
        <w:rPr>
          <w:i/>
          <w:lang w:eastAsia="zh-CN"/>
        </w:rPr>
      </w:pPr>
      <w:r w:rsidRPr="006D39F4">
        <w:rPr>
          <w:i/>
        </w:rPr>
        <w:t xml:space="preserve">DL </w:t>
      </w:r>
      <w:r w:rsidRPr="006D39F4">
        <w:rPr>
          <w:i/>
          <w:lang w:eastAsia="zh-CN"/>
        </w:rPr>
        <w:t xml:space="preserve">slot </w:t>
      </w:r>
      <m:oMath>
        <m:r>
          <w:rPr>
            <w:rFonts w:ascii="Cambria Math" w:hAnsi="Cambria Math"/>
            <w:lang w:eastAsia="zh-CN"/>
          </w:rPr>
          <m:t>n+</m:t>
        </m:r>
        <m:f>
          <m:fPr>
            <m:ctrlPr>
              <w:rPr>
                <w:rFonts w:ascii="Cambria Math" w:hAnsi="Cambria Math"/>
                <w:i/>
                <w:lang w:eastAsia="zh-CN"/>
              </w:rPr>
            </m:ctrlPr>
          </m:fPr>
          <m:num>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r>
                  <w:rPr>
                    <w:rFonts w:ascii="Cambria Math" w:hAnsi="Cambria Math"/>
                    <w:lang w:eastAsia="zh-CN"/>
                  </w:rPr>
                  <m:t>+T</m:t>
                </m:r>
              </m:e>
              <m:sub>
                <m:r>
                  <w:rPr>
                    <w:rFonts w:ascii="Cambria Math" w:hAnsi="Cambria Math"/>
                    <w:lang w:eastAsia="zh-CN"/>
                  </w:rPr>
                  <m:t>BWPswitchDelayRRC</m:t>
                </m:r>
              </m:sub>
            </m:sSub>
          </m:num>
          <m:den>
            <m:r>
              <w:rPr>
                <w:rFonts w:ascii="Cambria Math" w:hAnsi="Cambria Math"/>
                <w:lang w:eastAsia="zh-CN"/>
              </w:rPr>
              <m:t>NR Slot length</m:t>
            </m:r>
          </m:den>
        </m:f>
      </m:oMath>
      <w:r w:rsidRPr="006D39F4">
        <w:rPr>
          <w:i/>
          <w:lang w:eastAsia="zh-CN"/>
        </w:rPr>
        <w:t xml:space="preserve">, where </w:t>
      </w:r>
    </w:p>
    <w:p w14:paraId="35AD2D6A" w14:textId="77777777" w:rsidR="006D39F4" w:rsidRPr="006D39F4" w:rsidRDefault="006D39F4" w:rsidP="006D39F4">
      <w:pPr>
        <w:ind w:left="284"/>
        <w:rPr>
          <w:i/>
          <w:lang w:eastAsia="zh-CN"/>
        </w:rPr>
      </w:pPr>
      <w:r w:rsidRPr="006D39F4">
        <w:rPr>
          <w:i/>
          <w:lang w:eastAsia="zh-CN"/>
        </w:rPr>
        <w:t xml:space="preserve">DL slot n is the last slot containing the RRC command, and </w:t>
      </w:r>
    </w:p>
    <w:p w14:paraId="4FB419FE" w14:textId="77777777" w:rsidR="006D39F4" w:rsidRPr="006D39F4" w:rsidRDefault="00BA6026" w:rsidP="006D39F4">
      <w:pPr>
        <w:ind w:left="284"/>
        <w:rPr>
          <w:i/>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sidR="006D39F4" w:rsidRPr="006D39F4">
        <w:rPr>
          <w:i/>
          <w:vertAlign w:val="subscript"/>
          <w:lang w:eastAsia="zh-CN"/>
        </w:rPr>
        <w:t xml:space="preserve"> </w:t>
      </w:r>
      <w:r w:rsidR="006D39F4" w:rsidRPr="006D39F4">
        <w:rPr>
          <w:i/>
          <w:lang w:eastAsia="zh-CN"/>
        </w:rPr>
        <w:t xml:space="preserve">is the length of the RRC procedure delay in millisecond as defined in clause 12 in TS 38.331 [2], </w:t>
      </w:r>
      <w:proofErr w:type="gramStart"/>
      <w:r w:rsidR="006D39F4" w:rsidRPr="006D39F4">
        <w:rPr>
          <w:i/>
          <w:lang w:eastAsia="zh-CN"/>
        </w:rPr>
        <w:t>and</w:t>
      </w:r>
      <w:proofErr w:type="gramEnd"/>
    </w:p>
    <w:p w14:paraId="4B5600FC" w14:textId="77777777" w:rsidR="006D39F4" w:rsidRPr="006D39F4" w:rsidRDefault="00BA6026" w:rsidP="006D39F4">
      <w:pPr>
        <w:ind w:left="284"/>
        <w:rPr>
          <w:i/>
          <w:lang w:eastAsia="zh-CN"/>
        </w:rPr>
      </w:pP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BWPswitchDelayRRC</m:t>
            </m:r>
          </m:sub>
        </m:sSub>
        <m:r>
          <w:rPr>
            <w:rFonts w:ascii="Cambria Math" w:hAnsi="Cambria Math"/>
            <w:lang w:eastAsia="zh-CN"/>
          </w:rPr>
          <m:t>=[6]ms</m:t>
        </m:r>
      </m:oMath>
      <w:r w:rsidR="006D39F4" w:rsidRPr="006D39F4">
        <w:rPr>
          <w:i/>
          <w:lang w:eastAsia="zh-CN"/>
        </w:rPr>
        <w:t xml:space="preserve"> is the time used by the UE to perform BWP </w:t>
      </w:r>
      <w:proofErr w:type="gramStart"/>
      <w:r w:rsidR="006D39F4" w:rsidRPr="006D39F4">
        <w:rPr>
          <w:i/>
          <w:lang w:eastAsia="zh-CN"/>
        </w:rPr>
        <w:t>switch.</w:t>
      </w:r>
      <w:proofErr w:type="gramEnd"/>
    </w:p>
    <w:p w14:paraId="3D70A9F9" w14:textId="77777777" w:rsidR="006D39F4" w:rsidRDefault="006D39F4" w:rsidP="00D750C4">
      <w:pPr>
        <w:rPr>
          <w:rFonts w:eastAsiaTheme="minorEastAsia"/>
          <w:lang w:eastAsia="zh-CN"/>
        </w:rPr>
      </w:pPr>
      <w:r>
        <w:t xml:space="preserve">In TS 38.331, the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RRCprocessingDelay</m:t>
            </m:r>
          </m:sub>
        </m:sSub>
      </m:oMath>
      <w:r>
        <w:rPr>
          <w:rFonts w:eastAsiaTheme="minorEastAsia"/>
          <w:lang w:eastAsia="zh-CN"/>
        </w:rPr>
        <w:t xml:space="preserve"> is defined as: </w:t>
      </w:r>
      <w:r w:rsidRPr="006D39F4">
        <w:rPr>
          <w:i/>
        </w:rPr>
        <w:t>the time in [</w:t>
      </w:r>
      <w:proofErr w:type="spellStart"/>
      <w:r w:rsidRPr="006D39F4">
        <w:rPr>
          <w:i/>
        </w:rPr>
        <w:t>ms</w:t>
      </w:r>
      <w:proofErr w:type="spellEnd"/>
      <w:r w:rsidRPr="006D39F4">
        <w:rPr>
          <w:i/>
        </w:rPr>
        <w:t xml:space="preserve">] from the end of reception of the network -&gt; UE message on the UE physical layer up to when </w:t>
      </w:r>
      <w:r w:rsidRPr="006D39F4">
        <w:rPr>
          <w:i/>
          <w:u w:val="single"/>
        </w:rPr>
        <w:t>the UE shall be ready</w:t>
      </w:r>
      <w:r w:rsidRPr="006D39F4">
        <w:rPr>
          <w:i/>
        </w:rPr>
        <w:t xml:space="preserve"> for the reception of uplink grant for the UE -&gt; network response message with no access delay other than the TTI-alignment (e.g. excluding delays caused by scheduling, the random access procedure or physical layer </w:t>
      </w:r>
      <w:proofErr w:type="spellStart"/>
      <w:r w:rsidRPr="006D39F4">
        <w:rPr>
          <w:i/>
        </w:rPr>
        <w:t>synchronisation</w:t>
      </w:r>
      <w:proofErr w:type="spellEnd"/>
      <w:r w:rsidRPr="006D39F4">
        <w:rPr>
          <w:i/>
        </w:rPr>
        <w:t>)</w:t>
      </w:r>
      <w:r w:rsidRPr="00A047D1">
        <w:t>.</w:t>
      </w:r>
      <w:r>
        <w:t xml:space="preserve"> And it is illustrated below.</w:t>
      </w:r>
    </w:p>
    <w:p w14:paraId="26359AE9" w14:textId="77777777" w:rsidR="006D39F4" w:rsidRDefault="006D39F4" w:rsidP="00D750C4"/>
    <w:p w14:paraId="7184B43C" w14:textId="77777777" w:rsidR="006D39F4" w:rsidRPr="00A047D1" w:rsidRDefault="006D39F4" w:rsidP="006D39F4">
      <w:pPr>
        <w:pStyle w:val="TH"/>
        <w:rPr>
          <w:lang w:val="en-GB"/>
        </w:rPr>
      </w:pPr>
      <w:r w:rsidRPr="00A047D1">
        <w:rPr>
          <w:lang w:val="en-GB"/>
        </w:rPr>
        <w:object w:dxaOrig="8175" w:dyaOrig="2730" w14:anchorId="2D30C5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25pt;height:136.5pt" o:ole="">
            <v:imagedata r:id="rId13" o:title=""/>
          </v:shape>
          <o:OLEObject Type="Embed" ProgID="Visio.Drawing.11" ShapeID="_x0000_i1025" DrawAspect="Content" ObjectID="_1627471790" r:id="rId14"/>
        </w:object>
      </w:r>
    </w:p>
    <w:p w14:paraId="0B03489A" w14:textId="3F1ED753" w:rsidR="006D39F4" w:rsidRDefault="006D39F4" w:rsidP="006D39F4">
      <w:pPr>
        <w:pStyle w:val="TF"/>
      </w:pPr>
      <w:r w:rsidRPr="00A047D1">
        <w:t>Figure 12.1-1: Illustration of RRC procedure delay</w:t>
      </w:r>
      <w:r w:rsidR="00DA0B49">
        <w:t xml:space="preserve"> from </w:t>
      </w:r>
      <w:r w:rsidR="00DA0B49">
        <w:fldChar w:fldCharType="begin"/>
      </w:r>
      <w:r w:rsidR="00DA0B49">
        <w:instrText xml:space="preserve"> REF _Ref16252576 \r \h </w:instrText>
      </w:r>
      <w:r w:rsidR="00DA0B49">
        <w:fldChar w:fldCharType="separate"/>
      </w:r>
      <w:r w:rsidR="00DA0B49">
        <w:t>[3]</w:t>
      </w:r>
      <w:r w:rsidR="00DA0B49">
        <w:fldChar w:fldCharType="end"/>
      </w:r>
      <w:r w:rsidR="005B51C2">
        <w:t>.</w:t>
      </w:r>
    </w:p>
    <w:p w14:paraId="1804F784" w14:textId="1824520C" w:rsidR="006D39F4" w:rsidRDefault="005B51C2" w:rsidP="00D750C4">
      <w:r>
        <w:t>As in the DCI based BWP switch, the RRC based BWP switch accounts for the delay between the time the UE received the switching command</w:t>
      </w:r>
      <w:r w:rsidR="008A589C">
        <w:t xml:space="preserve"> in RRC DL command (</w:t>
      </w:r>
      <w:r w:rsidR="000E5E4B">
        <w:t>above Figure</w:t>
      </w:r>
      <w:r w:rsidR="008A589C">
        <w:t>)</w:t>
      </w:r>
      <w:r>
        <w:t>, and the time that the UE is ready to transmit/receive in the new BWP</w:t>
      </w:r>
      <w:r w:rsidR="000E5E4B">
        <w:t xml:space="preserve">, </w:t>
      </w:r>
      <w:proofErr w:type="spellStart"/>
      <w:r w:rsidR="000E5E4B">
        <w:t>i.e</w:t>
      </w:r>
      <w:proofErr w:type="spellEnd"/>
      <w:r w:rsidR="000E5E4B">
        <w:t xml:space="preserve"> sending UL grant</w:t>
      </w:r>
      <w:r w:rsidR="00DA0B49">
        <w:t xml:space="preserve">. This time is </w:t>
      </w:r>
      <w:r w:rsidR="006B7325">
        <w:t>depicted in red</w:t>
      </w:r>
      <w:r w:rsidR="00DA0B49">
        <w:t xml:space="preserve"> in the figure</w:t>
      </w:r>
      <w:r w:rsidR="006B7325">
        <w:t xml:space="preserve"> above.</w:t>
      </w:r>
      <w:r>
        <w:t xml:space="preserve"> </w:t>
      </w:r>
      <w:r w:rsidR="00DA0B49">
        <w:t>From the picture</w:t>
      </w:r>
      <w:r>
        <w:t xml:space="preserve">, </w:t>
      </w:r>
      <w:r w:rsidR="00DA0B49">
        <w:t xml:space="preserve">we see that the </w:t>
      </w:r>
      <w:r>
        <w:t xml:space="preserve">processing delay does not account for the actual transmission of the RRC UL response, but for the time the UE shall be ready </w:t>
      </w:r>
      <w:r w:rsidR="00DA0B49">
        <w:t>to send it</w:t>
      </w:r>
      <w:r>
        <w:t xml:space="preserve">. Therefore, once again, the BWP switching delay does not account for any other message exchange between the UE and the </w:t>
      </w:r>
      <w:r w:rsidR="0061797A">
        <w:t>network and</w:t>
      </w:r>
      <w:r>
        <w:t xml:space="preserve"> does not depend on the LBT procedure. </w:t>
      </w:r>
    </w:p>
    <w:p w14:paraId="119845F1" w14:textId="5ADEBE79" w:rsidR="005B51C2" w:rsidRDefault="005B51C2" w:rsidP="005B51C2">
      <w:pPr>
        <w:pStyle w:val="RAN4proposal"/>
      </w:pPr>
      <w:r>
        <w:t>In NR-U Rel-16 the requirements for RRC based BWP switch delay are the same as in NR Rel-15.</w:t>
      </w:r>
    </w:p>
    <w:p w14:paraId="2E3E1282" w14:textId="2820FEB8" w:rsidR="00A25DFD" w:rsidRPr="009412FA" w:rsidRDefault="00A25DFD" w:rsidP="00DA0B49">
      <w:r>
        <w:t xml:space="preserve">Finally, we propose to add the applicability of the requirements in TS 38.133, Section </w:t>
      </w:r>
      <w:r w:rsidR="00495C56">
        <w:t>8.6.1</w:t>
      </w:r>
      <w:r>
        <w:t>, to cover NR-U scenarios</w:t>
      </w:r>
      <w:r w:rsidR="00495C56">
        <w:t>, as follows:</w:t>
      </w:r>
    </w:p>
    <w:p w14:paraId="3B6E8915" w14:textId="77777777" w:rsidR="00495C56" w:rsidRPr="00CB7F67" w:rsidRDefault="00495C56" w:rsidP="00495C56">
      <w:pPr>
        <w:keepNext/>
        <w:keepLines/>
        <w:spacing w:before="180" w:after="180" w:line="240" w:lineRule="auto"/>
        <w:ind w:left="1854" w:hanging="1134"/>
        <w:outlineLvl w:val="1"/>
        <w:rPr>
          <w:rFonts w:ascii="Arial" w:eastAsia="SimSun" w:hAnsi="Arial" w:cs="Times New Roman"/>
          <w:sz w:val="32"/>
          <w:szCs w:val="20"/>
          <w:lang w:val="en-GB" w:eastAsia="zh-CN"/>
        </w:rPr>
      </w:pPr>
      <w:r w:rsidRPr="00CB7F67">
        <w:rPr>
          <w:rFonts w:ascii="Arial" w:eastAsia="SimSun" w:hAnsi="Arial" w:cs="Times New Roman"/>
          <w:sz w:val="32"/>
          <w:szCs w:val="20"/>
          <w:lang w:val="en-GB"/>
        </w:rPr>
        <w:t>8.6</w:t>
      </w:r>
      <w:r w:rsidRPr="00CB7F67">
        <w:rPr>
          <w:rFonts w:ascii="Arial" w:eastAsia="SimSun" w:hAnsi="Arial" w:cs="Times New Roman"/>
          <w:sz w:val="32"/>
          <w:szCs w:val="20"/>
          <w:lang w:val="en-GB"/>
        </w:rPr>
        <w:tab/>
        <w:t>Active BWP switch delay</w:t>
      </w:r>
    </w:p>
    <w:p w14:paraId="1A8DC9A4" w14:textId="77777777" w:rsidR="00495C56" w:rsidRPr="00CB7F67" w:rsidRDefault="00495C56" w:rsidP="00495C56">
      <w:pPr>
        <w:keepNext/>
        <w:keepLines/>
        <w:spacing w:before="120" w:after="180" w:line="240" w:lineRule="auto"/>
        <w:ind w:left="1854" w:hanging="1134"/>
        <w:outlineLvl w:val="2"/>
        <w:rPr>
          <w:rFonts w:ascii="Arial" w:eastAsia="SimSun" w:hAnsi="Arial" w:cs="Times New Roman"/>
          <w:sz w:val="28"/>
          <w:szCs w:val="20"/>
          <w:lang w:eastAsia="zh-CN"/>
        </w:rPr>
      </w:pPr>
      <w:r w:rsidRPr="00CB7F67">
        <w:rPr>
          <w:rFonts w:ascii="Arial" w:eastAsia="SimSun" w:hAnsi="Arial" w:cs="Times New Roman"/>
          <w:sz w:val="28"/>
          <w:szCs w:val="20"/>
          <w:lang w:eastAsia="zh-CN"/>
        </w:rPr>
        <w:t>8.6.1</w:t>
      </w:r>
      <w:r w:rsidRPr="00CB7F67">
        <w:rPr>
          <w:rFonts w:ascii="Arial" w:eastAsia="SimSun" w:hAnsi="Arial" w:cs="Times New Roman"/>
          <w:sz w:val="28"/>
          <w:szCs w:val="20"/>
          <w:lang w:eastAsia="zh-CN"/>
        </w:rPr>
        <w:tab/>
        <w:t>Introduction</w:t>
      </w:r>
    </w:p>
    <w:p w14:paraId="4C7D5857" w14:textId="77777777" w:rsidR="00495C56" w:rsidRDefault="00495C56" w:rsidP="00495C56">
      <w:pPr>
        <w:spacing w:after="180" w:line="240" w:lineRule="auto"/>
        <w:ind w:left="720"/>
        <w:rPr>
          <w:rFonts w:eastAsia="SimSun" w:cs="Times New Roman"/>
          <w:szCs w:val="20"/>
        </w:rPr>
      </w:pPr>
      <w:r w:rsidRPr="00CB7F67">
        <w:rPr>
          <w:rFonts w:eastAsia="SimSun" w:cs="Times New Roman"/>
          <w:szCs w:val="20"/>
          <w:lang w:val="en-GB" w:eastAsia="zh-CN"/>
        </w:rPr>
        <w:t>The requirements in this section apply for a UE configured with more than one BWP</w:t>
      </w:r>
      <w:r w:rsidRPr="00CB7F67">
        <w:rPr>
          <w:rFonts w:eastAsia="SimSun" w:cs="Times New Roman"/>
          <w:szCs w:val="20"/>
        </w:rPr>
        <w:t xml:space="preserve"> on </w:t>
      </w:r>
    </w:p>
    <w:p w14:paraId="7FB2F18B" w14:textId="77777777" w:rsidR="00495C56" w:rsidRPr="00DA0B49" w:rsidRDefault="00495C56" w:rsidP="00495C56">
      <w:pPr>
        <w:pStyle w:val="ListParagraph"/>
        <w:numPr>
          <w:ilvl w:val="1"/>
          <w:numId w:val="18"/>
        </w:numPr>
        <w:spacing w:after="180" w:line="240" w:lineRule="auto"/>
        <w:rPr>
          <w:rFonts w:eastAsia="SimSun" w:cs="Times New Roman"/>
          <w:szCs w:val="20"/>
          <w:lang w:val="en-GB" w:eastAsia="zh-CN"/>
        </w:rPr>
      </w:pPr>
      <w:r w:rsidRPr="00DA0B49">
        <w:rPr>
          <w:rFonts w:eastAsia="SimSun" w:cs="Times New Roman"/>
          <w:szCs w:val="20"/>
        </w:rPr>
        <w:t xml:space="preserve">PCell or any activated SCell in standalone NR or NE-DC, </w:t>
      </w:r>
    </w:p>
    <w:p w14:paraId="0EE96FF0" w14:textId="77777777" w:rsidR="00495C56" w:rsidRPr="00DA0B49" w:rsidRDefault="00495C56" w:rsidP="00495C56">
      <w:pPr>
        <w:pStyle w:val="ListParagraph"/>
        <w:numPr>
          <w:ilvl w:val="1"/>
          <w:numId w:val="18"/>
        </w:numPr>
        <w:spacing w:after="180" w:line="240" w:lineRule="auto"/>
        <w:rPr>
          <w:rFonts w:eastAsia="SimSun" w:cs="Times New Roman"/>
          <w:szCs w:val="20"/>
          <w:lang w:val="en-GB" w:eastAsia="zh-CN"/>
        </w:rPr>
      </w:pPr>
      <w:r w:rsidRPr="00DA0B49">
        <w:rPr>
          <w:rFonts w:eastAsia="SimSun" w:cs="Times New Roman"/>
          <w:szCs w:val="20"/>
        </w:rPr>
        <w:t xml:space="preserve">PCell, PSCell or any activated SCell in MCG or SCG in NR-DC, </w:t>
      </w:r>
    </w:p>
    <w:p w14:paraId="0267347E" w14:textId="5424C60D" w:rsidR="00495C56" w:rsidRPr="00DA0B49" w:rsidRDefault="00495C56" w:rsidP="007376B7">
      <w:pPr>
        <w:pStyle w:val="ListParagraph"/>
        <w:numPr>
          <w:ilvl w:val="1"/>
          <w:numId w:val="18"/>
        </w:numPr>
        <w:spacing w:after="180" w:line="240" w:lineRule="auto"/>
        <w:rPr>
          <w:rFonts w:eastAsia="SimSun" w:cs="Times New Roman"/>
          <w:szCs w:val="20"/>
          <w:lang w:val="en-GB" w:eastAsia="zh-CN"/>
        </w:rPr>
      </w:pPr>
      <w:r w:rsidRPr="00DA0B49">
        <w:rPr>
          <w:rFonts w:eastAsia="SimSun" w:cs="Times New Roman"/>
          <w:szCs w:val="20"/>
        </w:rPr>
        <w:t>PSCell or any activated SCell in SCG in EN-DC</w:t>
      </w:r>
      <w:r w:rsidRPr="00DA0B49">
        <w:rPr>
          <w:rFonts w:eastAsia="SimSun" w:cs="Times New Roman"/>
          <w:szCs w:val="20"/>
          <w:lang w:val="en-GB" w:eastAsia="zh-CN"/>
        </w:rPr>
        <w:t>,</w:t>
      </w:r>
      <w:r w:rsidRPr="00DA0B49">
        <w:rPr>
          <w:rFonts w:eastAsia="SimSun" w:cs="Times New Roman"/>
          <w:szCs w:val="20"/>
        </w:rPr>
        <w:t xml:space="preserve"> </w:t>
      </w:r>
    </w:p>
    <w:p w14:paraId="0C702275" w14:textId="67FA483E" w:rsidR="00495C56" w:rsidRPr="00DA0B49" w:rsidRDefault="00495C56" w:rsidP="00495C56">
      <w:pPr>
        <w:pStyle w:val="ListParagraph"/>
        <w:numPr>
          <w:ilvl w:val="1"/>
          <w:numId w:val="18"/>
        </w:numPr>
        <w:spacing w:after="180" w:line="240" w:lineRule="auto"/>
        <w:rPr>
          <w:rFonts w:eastAsia="SimSun" w:cs="Times New Roman"/>
          <w:szCs w:val="20"/>
          <w:lang w:val="en-GB" w:eastAsia="zh-CN"/>
        </w:rPr>
      </w:pPr>
      <w:r w:rsidRPr="00DA0B49">
        <w:rPr>
          <w:rFonts w:eastAsia="SimSun" w:cs="Times New Roman"/>
          <w:szCs w:val="20"/>
          <w:lang w:val="en-GB" w:eastAsia="zh-CN"/>
        </w:rPr>
        <w:t>Any activated SCell in carrier aggregation between NR and NR-U</w:t>
      </w:r>
    </w:p>
    <w:p w14:paraId="07B25D4D" w14:textId="641A3EA5" w:rsidR="00495C56" w:rsidRPr="00DA0B49" w:rsidRDefault="00495C56" w:rsidP="009412FA">
      <w:pPr>
        <w:pStyle w:val="ListParagraph"/>
        <w:numPr>
          <w:ilvl w:val="1"/>
          <w:numId w:val="18"/>
        </w:numPr>
        <w:spacing w:after="180" w:line="240" w:lineRule="auto"/>
        <w:rPr>
          <w:rFonts w:eastAsia="SimSun" w:cs="Times New Roman"/>
          <w:szCs w:val="20"/>
          <w:lang w:val="en-GB" w:eastAsia="zh-CN"/>
        </w:rPr>
      </w:pPr>
      <w:r w:rsidRPr="00DA0B49">
        <w:rPr>
          <w:rFonts w:eastAsia="SimSun" w:cs="Times New Roman"/>
          <w:szCs w:val="20"/>
          <w:lang w:val="en-GB" w:eastAsia="zh-CN"/>
        </w:rPr>
        <w:t>PSCell or any activated SCell in SCG in dual connectivity between LTE and NR-U</w:t>
      </w:r>
    </w:p>
    <w:p w14:paraId="1405E084" w14:textId="77755719" w:rsidR="00495C56" w:rsidRPr="00DA0B49" w:rsidRDefault="00495C56" w:rsidP="00495C56">
      <w:pPr>
        <w:pStyle w:val="ListParagraph"/>
        <w:numPr>
          <w:ilvl w:val="1"/>
          <w:numId w:val="18"/>
        </w:numPr>
        <w:spacing w:after="180" w:line="240" w:lineRule="auto"/>
        <w:rPr>
          <w:rFonts w:eastAsia="SimSun" w:cs="Times New Roman"/>
          <w:szCs w:val="20"/>
          <w:lang w:val="en-GB" w:eastAsia="zh-CN"/>
        </w:rPr>
      </w:pPr>
      <w:r w:rsidRPr="00DA0B49">
        <w:rPr>
          <w:rFonts w:eastAsia="SimSun" w:cs="Times New Roman"/>
          <w:szCs w:val="20"/>
          <w:lang w:val="en-GB" w:eastAsia="zh-CN"/>
        </w:rPr>
        <w:t xml:space="preserve">PCell or any activated SCell in standalone NR-U </w:t>
      </w:r>
    </w:p>
    <w:p w14:paraId="6B9B490C" w14:textId="6FDEA404" w:rsidR="00495C56" w:rsidRPr="00DA0B49" w:rsidRDefault="00495C56" w:rsidP="00495C56">
      <w:pPr>
        <w:pStyle w:val="ListParagraph"/>
        <w:numPr>
          <w:ilvl w:val="1"/>
          <w:numId w:val="18"/>
        </w:numPr>
        <w:spacing w:after="180" w:line="240" w:lineRule="auto"/>
        <w:rPr>
          <w:rFonts w:eastAsia="SimSun" w:cs="Times New Roman"/>
          <w:szCs w:val="20"/>
          <w:lang w:val="en-GB" w:eastAsia="zh-CN"/>
        </w:rPr>
      </w:pPr>
      <w:r w:rsidRPr="00DA0B49">
        <w:rPr>
          <w:rFonts w:eastAsia="SimSun" w:cs="Times New Roman"/>
          <w:szCs w:val="20"/>
          <w:lang w:val="en-GB" w:eastAsia="zh-CN"/>
        </w:rPr>
        <w:t>PSCell or any activated SCell in MCG or SCG in dual connectivity between NR and NR-U</w:t>
      </w:r>
    </w:p>
    <w:p w14:paraId="7FBC5BD1" w14:textId="03134919" w:rsidR="00495C56" w:rsidRPr="00DA0B49" w:rsidRDefault="00495C56" w:rsidP="00495C56">
      <w:pPr>
        <w:pStyle w:val="ListParagraph"/>
        <w:numPr>
          <w:ilvl w:val="1"/>
          <w:numId w:val="18"/>
        </w:numPr>
        <w:spacing w:after="180" w:line="240" w:lineRule="auto"/>
        <w:rPr>
          <w:rFonts w:eastAsia="SimSun" w:cs="Times New Roman"/>
          <w:szCs w:val="20"/>
          <w:lang w:val="en-GB" w:eastAsia="zh-CN"/>
        </w:rPr>
      </w:pPr>
      <w:r w:rsidRPr="00DA0B49">
        <w:rPr>
          <w:rFonts w:eastAsia="SimSun" w:cs="Times New Roman"/>
          <w:szCs w:val="20"/>
          <w:lang w:val="en-GB" w:eastAsia="zh-CN"/>
        </w:rPr>
        <w:t xml:space="preserve">PCell or any activated SCell in standalone NR-U with a licensed band NR UL </w:t>
      </w:r>
    </w:p>
    <w:p w14:paraId="6CC22617" w14:textId="77777777" w:rsidR="00495C56" w:rsidRPr="00DA0B49" w:rsidRDefault="00495C56" w:rsidP="00DA0B49">
      <w:pPr>
        <w:spacing w:after="180" w:line="240" w:lineRule="auto"/>
        <w:rPr>
          <w:rFonts w:eastAsia="SimSun" w:cs="Times New Roman"/>
          <w:szCs w:val="20"/>
          <w:lang w:val="en-GB" w:eastAsia="zh-CN"/>
        </w:rPr>
      </w:pPr>
      <w:r w:rsidRPr="00DA0B49">
        <w:rPr>
          <w:rFonts w:eastAsia="SimSun" w:cs="Times New Roman"/>
          <w:szCs w:val="20"/>
          <w:lang w:val="en-GB" w:eastAsia="zh-CN"/>
        </w:rPr>
        <w:t>UE shall complete the switch of active DL and/or UL BWP within the delay defined in this section.</w:t>
      </w:r>
    </w:p>
    <w:p w14:paraId="4E7DDBD8" w14:textId="77777777" w:rsidR="00495C56" w:rsidRDefault="00495C56" w:rsidP="00495C56">
      <w:pPr>
        <w:pStyle w:val="RAN4proposal"/>
      </w:pPr>
      <w:r>
        <w:t>Update the applicability of the requirements in Section 8.6 of TS 38.133 to cover NR-U scenarios A, B, C, D and E.</w:t>
      </w:r>
    </w:p>
    <w:p w14:paraId="61A3E3E7" w14:textId="77777777" w:rsidR="00CD7492" w:rsidRPr="0095295C" w:rsidRDefault="00CD7492" w:rsidP="0008612A">
      <w:pPr>
        <w:pStyle w:val="RAN4H1"/>
      </w:pPr>
      <w:r>
        <w:t>3</w:t>
      </w:r>
      <w:r>
        <w:tab/>
        <w:t>Conclusion</w:t>
      </w:r>
    </w:p>
    <w:p w14:paraId="26BB8473" w14:textId="77777777" w:rsidR="00BC766B" w:rsidRDefault="00BC766B" w:rsidP="00BC766B">
      <w:pPr>
        <w:pStyle w:val="RAN4Observation"/>
        <w:numPr>
          <w:ilvl w:val="0"/>
          <w:numId w:val="13"/>
        </w:numPr>
      </w:pPr>
      <w:r>
        <w:t xml:space="preserve">The BWP switching delay triggered by the DCI is measured from the time in which the UE receives the DCI until it is ready to receive or transmit on the new BWP; therefore, it does not depend on the LBT outcome. </w:t>
      </w:r>
    </w:p>
    <w:p w14:paraId="02D4E702" w14:textId="77777777" w:rsidR="00BC766B" w:rsidRDefault="00BC766B" w:rsidP="00BC766B">
      <w:pPr>
        <w:pStyle w:val="RAN4proposal"/>
        <w:numPr>
          <w:ilvl w:val="0"/>
          <w:numId w:val="20"/>
        </w:numPr>
      </w:pPr>
      <w:r>
        <w:t>In NR-U Rel-16 the requirements for DCI based BWP switch delay are the same as in NR Rel-15.</w:t>
      </w:r>
    </w:p>
    <w:p w14:paraId="36A4A41B" w14:textId="2DC06416" w:rsidR="00BC766B" w:rsidRDefault="00BC766B" w:rsidP="00BC766B">
      <w:pPr>
        <w:pStyle w:val="RAN4observation0"/>
      </w:pPr>
      <w:r w:rsidRPr="00BC766B">
        <w:t xml:space="preserve"> </w:t>
      </w:r>
      <w:r>
        <w:t xml:space="preserve">In timer-based BWP switch, the delay is measured from the time in which the timer expires; therefore, it does not depend on the LBT outcome. </w:t>
      </w:r>
    </w:p>
    <w:p w14:paraId="403882A7" w14:textId="2D820A59" w:rsidR="00BC766B" w:rsidRDefault="00BC766B" w:rsidP="00BC766B">
      <w:pPr>
        <w:pStyle w:val="RAN4proposal"/>
      </w:pPr>
      <w:r>
        <w:t>In NR-U Rel-16 the requirements for timer-based BWP switch delay are the same as in NR Rel-15.</w:t>
      </w:r>
    </w:p>
    <w:p w14:paraId="05502068" w14:textId="5BA2504D" w:rsidR="00BC766B" w:rsidRDefault="00BC766B" w:rsidP="00BC766B">
      <w:pPr>
        <w:pStyle w:val="RAN4proposal"/>
      </w:pPr>
      <w:r>
        <w:t>In NR-U Rel-16 the requirements for RRC based BWP switch delay are the same as in NR Rel-15.</w:t>
      </w:r>
    </w:p>
    <w:p w14:paraId="0B8529DB" w14:textId="77777777" w:rsidR="00BC766B" w:rsidRDefault="00BC766B" w:rsidP="00BC766B">
      <w:pPr>
        <w:pStyle w:val="RAN4proposal"/>
      </w:pPr>
      <w:r>
        <w:lastRenderedPageBreak/>
        <w:t>Update the applicability of the requirements in Section 8.6 of TS 38.133 to cover NR-U scenarios A, B, C, D and E.</w:t>
      </w:r>
    </w:p>
    <w:p w14:paraId="70D3B83E" w14:textId="77777777" w:rsidR="00BC766B" w:rsidRPr="00BC766B" w:rsidRDefault="00BC766B" w:rsidP="00BC766B"/>
    <w:p w14:paraId="24575591" w14:textId="77777777" w:rsidR="003B659E" w:rsidRPr="0095295C" w:rsidRDefault="003B659E" w:rsidP="0008612A">
      <w:pPr>
        <w:pStyle w:val="RAN4H1"/>
      </w:pPr>
      <w:r w:rsidRPr="0095295C">
        <w:t>References</w:t>
      </w:r>
    </w:p>
    <w:p w14:paraId="7CFDBF27" w14:textId="25E9DEF3" w:rsidR="00D72E4F" w:rsidRPr="00BC766B" w:rsidRDefault="00D72E4F"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4" w:name="_Ref15379293"/>
      <w:bookmarkStart w:id="5" w:name="_Ref431017336"/>
      <w:r w:rsidRPr="00BC766B">
        <w:rPr>
          <w:rFonts w:eastAsia="Times New Roman" w:cs="Times New Roman"/>
          <w:szCs w:val="20"/>
          <w:lang w:val="en-GB"/>
        </w:rPr>
        <w:t>R1-1901483, Final Report of 3GPP TSG RAN WG1 #AH_1901, Taipei, Taiwan.</w:t>
      </w:r>
      <w:bookmarkEnd w:id="4"/>
    </w:p>
    <w:p w14:paraId="457A5C57" w14:textId="130411A2" w:rsidR="003B659E" w:rsidRPr="00BC766B" w:rsidRDefault="003B659E"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6" w:name="_Ref15378955"/>
      <w:r w:rsidRPr="00BC766B">
        <w:rPr>
          <w:rFonts w:eastAsia="Times New Roman" w:cs="Times New Roman"/>
          <w:szCs w:val="20"/>
          <w:lang w:val="en-GB"/>
        </w:rPr>
        <w:t>R4-</w:t>
      </w:r>
      <w:r w:rsidR="00D72E4F" w:rsidRPr="00BC766B">
        <w:rPr>
          <w:rFonts w:eastAsia="Times New Roman" w:cs="Times New Roman"/>
          <w:szCs w:val="20"/>
          <w:lang w:val="en-GB"/>
        </w:rPr>
        <w:t>1907331</w:t>
      </w:r>
      <w:r w:rsidRPr="00BC766B">
        <w:rPr>
          <w:rFonts w:eastAsia="Times New Roman" w:cs="Times New Roman"/>
          <w:szCs w:val="20"/>
          <w:lang w:val="en-GB"/>
        </w:rPr>
        <w:t xml:space="preserve">, </w:t>
      </w:r>
      <w:bookmarkEnd w:id="5"/>
      <w:r w:rsidR="00D72E4F" w:rsidRPr="00BC766B">
        <w:rPr>
          <w:rFonts w:eastAsia="Times New Roman" w:cs="Times New Roman"/>
          <w:bCs/>
          <w:szCs w:val="20"/>
          <w:lang w:val="en-GB"/>
        </w:rPr>
        <w:t>WF on RRM requirements for NR-U, Ericsson, RAN WG4 Meeting #91</w:t>
      </w:r>
      <w:bookmarkEnd w:id="6"/>
    </w:p>
    <w:p w14:paraId="16F0DFE2" w14:textId="23A96B0F" w:rsidR="00DA0B49" w:rsidRPr="00BC766B" w:rsidRDefault="00DA0B49"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7" w:name="_Ref16252576"/>
      <w:r w:rsidRPr="00BC766B">
        <w:rPr>
          <w:rFonts w:eastAsia="Times New Roman" w:cs="Times New Roman"/>
          <w:szCs w:val="20"/>
          <w:lang w:val="en-GB"/>
        </w:rPr>
        <w:t>TS 38.331, Radio Resource Control (RRC) protocol specification (Release 15)</w:t>
      </w:r>
      <w:bookmarkEnd w:id="7"/>
    </w:p>
    <w:p w14:paraId="02354615" w14:textId="77777777" w:rsidR="003B659E" w:rsidRDefault="003B659E" w:rsidP="00841BCD">
      <w:pPr>
        <w:ind w:right="-22"/>
        <w:rPr>
          <w:lang w:val="en-GB"/>
        </w:rPr>
      </w:pPr>
    </w:p>
    <w:p w14:paraId="3DFBC67C" w14:textId="77777777" w:rsidR="00687FA0" w:rsidRPr="003B659E" w:rsidRDefault="00687FA0" w:rsidP="00841BCD">
      <w:pPr>
        <w:ind w:right="-22"/>
        <w:rPr>
          <w:lang w:val="en-GB"/>
        </w:rPr>
      </w:pPr>
    </w:p>
    <w:sectPr w:rsidR="00687FA0" w:rsidRPr="003B659E" w:rsidSect="005E6CF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AAA1D" w14:textId="77777777" w:rsidR="003F2682" w:rsidRDefault="003F2682" w:rsidP="00001C9B">
      <w:pPr>
        <w:spacing w:after="0" w:line="240" w:lineRule="auto"/>
      </w:pPr>
      <w:r>
        <w:separator/>
      </w:r>
    </w:p>
  </w:endnote>
  <w:endnote w:type="continuationSeparator" w:id="0">
    <w:p w14:paraId="4F6A6DB3" w14:textId="77777777" w:rsidR="003F2682" w:rsidRDefault="003F2682"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D5A183" w14:textId="77777777" w:rsidR="003F2682" w:rsidRDefault="003F2682" w:rsidP="00001C9B">
      <w:pPr>
        <w:spacing w:after="0" w:line="240" w:lineRule="auto"/>
      </w:pPr>
      <w:r>
        <w:separator/>
      </w:r>
    </w:p>
  </w:footnote>
  <w:footnote w:type="continuationSeparator" w:id="0">
    <w:p w14:paraId="608C9798" w14:textId="77777777" w:rsidR="003F2682" w:rsidRDefault="003F2682"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886A4B"/>
    <w:multiLevelType w:val="hybridMultilevel"/>
    <w:tmpl w:val="529CA3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FD93583"/>
    <w:multiLevelType w:val="hybridMultilevel"/>
    <w:tmpl w:val="62B4FC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C730E73"/>
    <w:multiLevelType w:val="hybridMultilevel"/>
    <w:tmpl w:val="23CCA0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D6E3167"/>
    <w:multiLevelType w:val="hybridMultilevel"/>
    <w:tmpl w:val="BE3A6490"/>
    <w:lvl w:ilvl="0" w:tplc="6D0E2FCA">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E42467"/>
    <w:multiLevelType w:val="hybridMultilevel"/>
    <w:tmpl w:val="8D52250E"/>
    <w:lvl w:ilvl="0" w:tplc="E9841846">
      <w:start w:val="1"/>
      <w:numFmt w:val="bullet"/>
      <w:lvlText w:val="•"/>
      <w:lvlJc w:val="left"/>
      <w:pPr>
        <w:tabs>
          <w:tab w:val="num" w:pos="720"/>
        </w:tabs>
        <w:ind w:left="720" w:hanging="360"/>
      </w:pPr>
      <w:rPr>
        <w:rFonts w:ascii="Arial" w:hAnsi="Arial" w:hint="default"/>
      </w:rPr>
    </w:lvl>
    <w:lvl w:ilvl="1" w:tplc="8548AD52">
      <w:numFmt w:val="bullet"/>
      <w:lvlText w:val="•"/>
      <w:lvlJc w:val="left"/>
      <w:pPr>
        <w:tabs>
          <w:tab w:val="num" w:pos="1440"/>
        </w:tabs>
        <w:ind w:left="1440" w:hanging="360"/>
      </w:pPr>
      <w:rPr>
        <w:rFonts w:ascii="Arial" w:hAnsi="Arial" w:hint="default"/>
      </w:rPr>
    </w:lvl>
    <w:lvl w:ilvl="2" w:tplc="B1F82856">
      <w:numFmt w:val="bullet"/>
      <w:lvlText w:val="•"/>
      <w:lvlJc w:val="left"/>
      <w:pPr>
        <w:tabs>
          <w:tab w:val="num" w:pos="2160"/>
        </w:tabs>
        <w:ind w:left="2160" w:hanging="360"/>
      </w:pPr>
      <w:rPr>
        <w:rFonts w:ascii="Arial" w:hAnsi="Arial" w:hint="default"/>
      </w:rPr>
    </w:lvl>
    <w:lvl w:ilvl="3" w:tplc="B7E8B5FA" w:tentative="1">
      <w:start w:val="1"/>
      <w:numFmt w:val="bullet"/>
      <w:lvlText w:val="•"/>
      <w:lvlJc w:val="left"/>
      <w:pPr>
        <w:tabs>
          <w:tab w:val="num" w:pos="2880"/>
        </w:tabs>
        <w:ind w:left="2880" w:hanging="360"/>
      </w:pPr>
      <w:rPr>
        <w:rFonts w:ascii="Arial" w:hAnsi="Arial" w:hint="default"/>
      </w:rPr>
    </w:lvl>
    <w:lvl w:ilvl="4" w:tplc="DFDC88E4" w:tentative="1">
      <w:start w:val="1"/>
      <w:numFmt w:val="bullet"/>
      <w:lvlText w:val="•"/>
      <w:lvlJc w:val="left"/>
      <w:pPr>
        <w:tabs>
          <w:tab w:val="num" w:pos="3600"/>
        </w:tabs>
        <w:ind w:left="3600" w:hanging="360"/>
      </w:pPr>
      <w:rPr>
        <w:rFonts w:ascii="Arial" w:hAnsi="Arial" w:hint="default"/>
      </w:rPr>
    </w:lvl>
    <w:lvl w:ilvl="5" w:tplc="39BC71FC" w:tentative="1">
      <w:start w:val="1"/>
      <w:numFmt w:val="bullet"/>
      <w:lvlText w:val="•"/>
      <w:lvlJc w:val="left"/>
      <w:pPr>
        <w:tabs>
          <w:tab w:val="num" w:pos="4320"/>
        </w:tabs>
        <w:ind w:left="4320" w:hanging="360"/>
      </w:pPr>
      <w:rPr>
        <w:rFonts w:ascii="Arial" w:hAnsi="Arial" w:hint="default"/>
      </w:rPr>
    </w:lvl>
    <w:lvl w:ilvl="6" w:tplc="743E0CB6" w:tentative="1">
      <w:start w:val="1"/>
      <w:numFmt w:val="bullet"/>
      <w:lvlText w:val="•"/>
      <w:lvlJc w:val="left"/>
      <w:pPr>
        <w:tabs>
          <w:tab w:val="num" w:pos="5040"/>
        </w:tabs>
        <w:ind w:left="5040" w:hanging="360"/>
      </w:pPr>
      <w:rPr>
        <w:rFonts w:ascii="Arial" w:hAnsi="Arial" w:hint="default"/>
      </w:rPr>
    </w:lvl>
    <w:lvl w:ilvl="7" w:tplc="EC16B93C" w:tentative="1">
      <w:start w:val="1"/>
      <w:numFmt w:val="bullet"/>
      <w:lvlText w:val="•"/>
      <w:lvlJc w:val="left"/>
      <w:pPr>
        <w:tabs>
          <w:tab w:val="num" w:pos="5760"/>
        </w:tabs>
        <w:ind w:left="5760" w:hanging="360"/>
      </w:pPr>
      <w:rPr>
        <w:rFonts w:ascii="Arial" w:hAnsi="Arial" w:hint="default"/>
      </w:rPr>
    </w:lvl>
    <w:lvl w:ilvl="8" w:tplc="E6723B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3"/>
  </w:num>
  <w:num w:numId="3">
    <w:abstractNumId w:val="9"/>
  </w:num>
  <w:num w:numId="4">
    <w:abstractNumId w:val="2"/>
  </w:num>
  <w:num w:numId="5">
    <w:abstractNumId w:val="11"/>
  </w:num>
  <w:num w:numId="6">
    <w:abstractNumId w:val="6"/>
  </w:num>
  <w:num w:numId="7">
    <w:abstractNumId w:val="8"/>
  </w:num>
  <w:num w:numId="8">
    <w:abstractNumId w:val="8"/>
    <w:lvlOverride w:ilvl="0">
      <w:startOverride w:val="1"/>
    </w:lvlOverride>
  </w:num>
  <w:num w:numId="9">
    <w:abstractNumId w:val="8"/>
    <w:lvlOverride w:ilvl="0">
      <w:startOverride w:val="1"/>
    </w:lvlOverride>
  </w:num>
  <w:num w:numId="10">
    <w:abstractNumId w:val="8"/>
    <w:lvlOverride w:ilvl="0">
      <w:startOverride w:val="1"/>
    </w:lvlOverride>
  </w:num>
  <w:num w:numId="11">
    <w:abstractNumId w:val="6"/>
    <w:lvlOverride w:ilvl="0">
      <w:startOverride w:val="1"/>
    </w:lvlOverride>
  </w:num>
  <w:num w:numId="12">
    <w:abstractNumId w:val="8"/>
    <w:lvlOverride w:ilvl="0">
      <w:startOverride w:val="1"/>
    </w:lvlOverride>
  </w:num>
  <w:num w:numId="13">
    <w:abstractNumId w:val="6"/>
    <w:lvlOverride w:ilvl="0">
      <w:startOverride w:val="1"/>
    </w:lvlOverride>
  </w:num>
  <w:num w:numId="14">
    <w:abstractNumId w:val="8"/>
    <w:lvlOverride w:ilvl="0">
      <w:startOverride w:val="1"/>
    </w:lvlOverride>
  </w:num>
  <w:num w:numId="15">
    <w:abstractNumId w:val="10"/>
  </w:num>
  <w:num w:numId="16">
    <w:abstractNumId w:val="5"/>
  </w:num>
  <w:num w:numId="17">
    <w:abstractNumId w:val="1"/>
  </w:num>
  <w:num w:numId="18">
    <w:abstractNumId w:val="4"/>
  </w:num>
  <w:num w:numId="19">
    <w:abstractNumId w:val="7"/>
  </w:num>
  <w:num w:numId="20">
    <w:abstractNumId w:val="8"/>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30886"/>
    <w:rsid w:val="00070172"/>
    <w:rsid w:val="000803A0"/>
    <w:rsid w:val="0008612A"/>
    <w:rsid w:val="000911B9"/>
    <w:rsid w:val="000B0056"/>
    <w:rsid w:val="000E5E4B"/>
    <w:rsid w:val="000E64B9"/>
    <w:rsid w:val="000F436C"/>
    <w:rsid w:val="001745F8"/>
    <w:rsid w:val="001838CF"/>
    <w:rsid w:val="0019211D"/>
    <w:rsid w:val="0019624A"/>
    <w:rsid w:val="001B2870"/>
    <w:rsid w:val="001D61CD"/>
    <w:rsid w:val="001E0314"/>
    <w:rsid w:val="001E30F6"/>
    <w:rsid w:val="001E79C2"/>
    <w:rsid w:val="00220F28"/>
    <w:rsid w:val="00226D98"/>
    <w:rsid w:val="00235F5C"/>
    <w:rsid w:val="00283C8F"/>
    <w:rsid w:val="002B4922"/>
    <w:rsid w:val="002C2D19"/>
    <w:rsid w:val="002D10FA"/>
    <w:rsid w:val="002D4C55"/>
    <w:rsid w:val="002D6AD7"/>
    <w:rsid w:val="002F764A"/>
    <w:rsid w:val="003026BF"/>
    <w:rsid w:val="00346B16"/>
    <w:rsid w:val="003B659E"/>
    <w:rsid w:val="003C7CCC"/>
    <w:rsid w:val="003F2682"/>
    <w:rsid w:val="00406049"/>
    <w:rsid w:val="0043750A"/>
    <w:rsid w:val="00495C56"/>
    <w:rsid w:val="004A6AAD"/>
    <w:rsid w:val="004E5E66"/>
    <w:rsid w:val="00500F28"/>
    <w:rsid w:val="00503B4D"/>
    <w:rsid w:val="00504EE9"/>
    <w:rsid w:val="0054442C"/>
    <w:rsid w:val="00547E4C"/>
    <w:rsid w:val="00550285"/>
    <w:rsid w:val="005608E5"/>
    <w:rsid w:val="005836F8"/>
    <w:rsid w:val="00597630"/>
    <w:rsid w:val="005B51C2"/>
    <w:rsid w:val="005E5AA1"/>
    <w:rsid w:val="005E61A8"/>
    <w:rsid w:val="005E6CF6"/>
    <w:rsid w:val="005F6419"/>
    <w:rsid w:val="00617400"/>
    <w:rsid w:val="0061797A"/>
    <w:rsid w:val="0062513C"/>
    <w:rsid w:val="00664950"/>
    <w:rsid w:val="00677489"/>
    <w:rsid w:val="0068175B"/>
    <w:rsid w:val="00683220"/>
    <w:rsid w:val="00687FA0"/>
    <w:rsid w:val="006912B9"/>
    <w:rsid w:val="006B01B8"/>
    <w:rsid w:val="006B7010"/>
    <w:rsid w:val="006B7325"/>
    <w:rsid w:val="006B7577"/>
    <w:rsid w:val="006D241A"/>
    <w:rsid w:val="006D39F4"/>
    <w:rsid w:val="006E1AB0"/>
    <w:rsid w:val="007145FF"/>
    <w:rsid w:val="007376B7"/>
    <w:rsid w:val="0074649E"/>
    <w:rsid w:val="007501F7"/>
    <w:rsid w:val="00751515"/>
    <w:rsid w:val="00751C39"/>
    <w:rsid w:val="00760FDB"/>
    <w:rsid w:val="00785232"/>
    <w:rsid w:val="007C3ED0"/>
    <w:rsid w:val="007D5075"/>
    <w:rsid w:val="00801B2C"/>
    <w:rsid w:val="00806A76"/>
    <w:rsid w:val="00811C9D"/>
    <w:rsid w:val="00816C80"/>
    <w:rsid w:val="008277C4"/>
    <w:rsid w:val="00841BCD"/>
    <w:rsid w:val="008826C1"/>
    <w:rsid w:val="008A589C"/>
    <w:rsid w:val="009042BD"/>
    <w:rsid w:val="00906CCF"/>
    <w:rsid w:val="009412FA"/>
    <w:rsid w:val="00956958"/>
    <w:rsid w:val="00977E1D"/>
    <w:rsid w:val="009B0960"/>
    <w:rsid w:val="009B0B09"/>
    <w:rsid w:val="009C7A65"/>
    <w:rsid w:val="00A226EA"/>
    <w:rsid w:val="00A22B78"/>
    <w:rsid w:val="00A25AE5"/>
    <w:rsid w:val="00A25DFD"/>
    <w:rsid w:val="00A907CB"/>
    <w:rsid w:val="00AA1B0E"/>
    <w:rsid w:val="00AC5CA7"/>
    <w:rsid w:val="00AC6A62"/>
    <w:rsid w:val="00AF02D1"/>
    <w:rsid w:val="00B66964"/>
    <w:rsid w:val="00B74D1C"/>
    <w:rsid w:val="00BA6026"/>
    <w:rsid w:val="00BA6E48"/>
    <w:rsid w:val="00BB6036"/>
    <w:rsid w:val="00BC766B"/>
    <w:rsid w:val="00BF2218"/>
    <w:rsid w:val="00C13C4D"/>
    <w:rsid w:val="00C15060"/>
    <w:rsid w:val="00C37FF2"/>
    <w:rsid w:val="00CB7F67"/>
    <w:rsid w:val="00CD7492"/>
    <w:rsid w:val="00CE3A6B"/>
    <w:rsid w:val="00D00211"/>
    <w:rsid w:val="00D06309"/>
    <w:rsid w:val="00D351EA"/>
    <w:rsid w:val="00D43403"/>
    <w:rsid w:val="00D601A1"/>
    <w:rsid w:val="00D60716"/>
    <w:rsid w:val="00D62E71"/>
    <w:rsid w:val="00D72E4F"/>
    <w:rsid w:val="00D740CA"/>
    <w:rsid w:val="00D750C4"/>
    <w:rsid w:val="00D85728"/>
    <w:rsid w:val="00D91DE2"/>
    <w:rsid w:val="00DA0B49"/>
    <w:rsid w:val="00DE35F7"/>
    <w:rsid w:val="00DF2997"/>
    <w:rsid w:val="00DF3461"/>
    <w:rsid w:val="00E24567"/>
    <w:rsid w:val="00E24F13"/>
    <w:rsid w:val="00E26EE0"/>
    <w:rsid w:val="00EC7BC3"/>
    <w:rsid w:val="00ED7600"/>
    <w:rsid w:val="00EF1E3E"/>
    <w:rsid w:val="00F1362C"/>
    <w:rsid w:val="00F20A12"/>
    <w:rsid w:val="00F32974"/>
    <w:rsid w:val="00F824F5"/>
    <w:rsid w:val="00F95295"/>
    <w:rsid w:val="00FC29B9"/>
    <w:rsid w:val="00FC3EDE"/>
    <w:rsid w:val="00FC6FD3"/>
    <w:rsid w:val="49BDF7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BE5D3C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68175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Lista1,列出段落,中等深浅网格 1 - 着色 21,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 ?? Char,????? Char,???? Char,Lista1 Char,列出段落 Char,中等深浅网格 1 - 着色 21 Char,列表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Heading3Char">
    <w:name w:val="Heading 3 Char"/>
    <w:basedOn w:val="DefaultParagraphFont"/>
    <w:link w:val="Heading3"/>
    <w:uiPriority w:val="9"/>
    <w:semiHidden/>
    <w:rsid w:val="0068175B"/>
    <w:rPr>
      <w:rFonts w:asciiTheme="majorHAnsi" w:eastAsiaTheme="majorEastAsia" w:hAnsiTheme="majorHAnsi" w:cstheme="majorBidi"/>
      <w:color w:val="1F3763" w:themeColor="accent1" w:themeShade="7F"/>
      <w:sz w:val="24"/>
      <w:szCs w:val="24"/>
    </w:rPr>
  </w:style>
  <w:style w:type="paragraph" w:customStyle="1" w:styleId="TAL">
    <w:name w:val="TAL"/>
    <w:basedOn w:val="Normal"/>
    <w:link w:val="TALCar"/>
    <w:rsid w:val="0068175B"/>
    <w:pPr>
      <w:keepNext/>
      <w:keepLines/>
      <w:spacing w:after="0" w:line="240" w:lineRule="auto"/>
    </w:pPr>
    <w:rPr>
      <w:rFonts w:ascii="Arial" w:eastAsia="MS Mincho" w:hAnsi="Arial" w:cs="Times New Roman"/>
      <w:sz w:val="18"/>
      <w:szCs w:val="20"/>
      <w:lang w:val="en-GB"/>
    </w:rPr>
  </w:style>
  <w:style w:type="character" w:customStyle="1" w:styleId="TALCar">
    <w:name w:val="TAL Car"/>
    <w:link w:val="TAL"/>
    <w:qFormat/>
    <w:rsid w:val="0068175B"/>
    <w:rPr>
      <w:rFonts w:ascii="Arial" w:eastAsia="MS Mincho" w:hAnsi="Arial" w:cs="Times New Roman"/>
      <w:sz w:val="18"/>
      <w:szCs w:val="20"/>
      <w:lang w:val="en-GB"/>
    </w:rPr>
  </w:style>
  <w:style w:type="paragraph" w:customStyle="1" w:styleId="Default">
    <w:name w:val="Default"/>
    <w:rsid w:val="0068175B"/>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1">
    <w:name w:val="B1"/>
    <w:basedOn w:val="List"/>
    <w:link w:val="B1Char1"/>
    <w:qFormat/>
    <w:rsid w:val="00677489"/>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x-none" w:eastAsia="x-none"/>
    </w:rPr>
  </w:style>
  <w:style w:type="character" w:customStyle="1" w:styleId="B1Char1">
    <w:name w:val="B1 Char1"/>
    <w:link w:val="B1"/>
    <w:qFormat/>
    <w:rsid w:val="00677489"/>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677489"/>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x-none" w:eastAsia="x-none"/>
    </w:rPr>
  </w:style>
  <w:style w:type="character" w:customStyle="1" w:styleId="B2Char">
    <w:name w:val="B2 Char"/>
    <w:link w:val="B2"/>
    <w:qFormat/>
    <w:rsid w:val="00677489"/>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677489"/>
    <w:pPr>
      <w:ind w:left="283" w:hanging="283"/>
      <w:contextualSpacing/>
    </w:pPr>
  </w:style>
  <w:style w:type="paragraph" w:styleId="List2">
    <w:name w:val="List 2"/>
    <w:basedOn w:val="Normal"/>
    <w:uiPriority w:val="99"/>
    <w:semiHidden/>
    <w:unhideWhenUsed/>
    <w:rsid w:val="00677489"/>
    <w:pPr>
      <w:ind w:left="566" w:hanging="283"/>
      <w:contextualSpacing/>
    </w:pPr>
  </w:style>
  <w:style w:type="paragraph" w:customStyle="1" w:styleId="TH">
    <w:name w:val="TH"/>
    <w:basedOn w:val="Normal"/>
    <w:link w:val="THChar"/>
    <w:qFormat/>
    <w:rsid w:val="006D39F4"/>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x-none" w:eastAsia="x-none"/>
    </w:rPr>
  </w:style>
  <w:style w:type="character" w:customStyle="1" w:styleId="THChar">
    <w:name w:val="TH Char"/>
    <w:link w:val="TH"/>
    <w:qFormat/>
    <w:rsid w:val="006D39F4"/>
    <w:rPr>
      <w:rFonts w:ascii="Arial" w:eastAsia="Times New Roman" w:hAnsi="Arial" w:cs="Times New Roman"/>
      <w:b/>
      <w:sz w:val="20"/>
      <w:szCs w:val="20"/>
      <w:lang w:val="x-none" w:eastAsia="x-none"/>
    </w:rPr>
  </w:style>
  <w:style w:type="paragraph" w:customStyle="1" w:styleId="TF">
    <w:name w:val="TF"/>
    <w:basedOn w:val="TH"/>
    <w:link w:val="TFChar"/>
    <w:rsid w:val="006D39F4"/>
    <w:pPr>
      <w:keepNext w:val="0"/>
      <w:spacing w:before="0" w:after="240"/>
    </w:pPr>
    <w:rPr>
      <w:lang w:val="en-GB" w:eastAsia="ja-JP"/>
    </w:rPr>
  </w:style>
  <w:style w:type="character" w:customStyle="1" w:styleId="TFChar">
    <w:name w:val="TF Char"/>
    <w:link w:val="TF"/>
    <w:rsid w:val="006D39F4"/>
    <w:rPr>
      <w:rFonts w:ascii="Arial" w:eastAsia="Times New Roman" w:hAnsi="Arial" w:cs="Times New Roman"/>
      <w:b/>
      <w:sz w:val="20"/>
      <w:szCs w:val="20"/>
      <w:lang w:val="en-GB" w:eastAsia="ja-JP"/>
    </w:rPr>
  </w:style>
  <w:style w:type="character" w:styleId="CommentReference">
    <w:name w:val="annotation reference"/>
    <w:basedOn w:val="DefaultParagraphFont"/>
    <w:uiPriority w:val="99"/>
    <w:semiHidden/>
    <w:unhideWhenUsed/>
    <w:rsid w:val="00801B2C"/>
    <w:rPr>
      <w:sz w:val="16"/>
      <w:szCs w:val="16"/>
    </w:rPr>
  </w:style>
  <w:style w:type="paragraph" w:styleId="CommentText">
    <w:name w:val="annotation text"/>
    <w:basedOn w:val="Normal"/>
    <w:link w:val="CommentTextChar"/>
    <w:uiPriority w:val="99"/>
    <w:semiHidden/>
    <w:unhideWhenUsed/>
    <w:rsid w:val="00801B2C"/>
    <w:pPr>
      <w:spacing w:line="240" w:lineRule="auto"/>
    </w:pPr>
    <w:rPr>
      <w:szCs w:val="20"/>
    </w:rPr>
  </w:style>
  <w:style w:type="character" w:customStyle="1" w:styleId="CommentTextChar">
    <w:name w:val="Comment Text Char"/>
    <w:basedOn w:val="DefaultParagraphFont"/>
    <w:link w:val="CommentText"/>
    <w:uiPriority w:val="99"/>
    <w:semiHidden/>
    <w:rsid w:val="00801B2C"/>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01B2C"/>
    <w:rPr>
      <w:b/>
      <w:bCs/>
    </w:rPr>
  </w:style>
  <w:style w:type="character" w:customStyle="1" w:styleId="CommentSubjectChar">
    <w:name w:val="Comment Subject Char"/>
    <w:basedOn w:val="CommentTextChar"/>
    <w:link w:val="CommentSubject"/>
    <w:uiPriority w:val="99"/>
    <w:semiHidden/>
    <w:rsid w:val="00801B2C"/>
    <w:rPr>
      <w:rFonts w:ascii="Times New Roman" w:hAnsi="Times New Roman"/>
      <w:b/>
      <w:bCs/>
      <w:sz w:val="20"/>
      <w:szCs w:val="20"/>
    </w:rPr>
  </w:style>
  <w:style w:type="paragraph" w:styleId="BalloonText">
    <w:name w:val="Balloon Text"/>
    <w:basedOn w:val="Normal"/>
    <w:link w:val="BalloonTextChar"/>
    <w:uiPriority w:val="99"/>
    <w:semiHidden/>
    <w:unhideWhenUsed/>
    <w:rsid w:val="00801B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1B2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175364">
      <w:bodyDiv w:val="1"/>
      <w:marLeft w:val="0"/>
      <w:marRight w:val="0"/>
      <w:marTop w:val="0"/>
      <w:marBottom w:val="0"/>
      <w:divBdr>
        <w:top w:val="none" w:sz="0" w:space="0" w:color="auto"/>
        <w:left w:val="none" w:sz="0" w:space="0" w:color="auto"/>
        <w:bottom w:val="none" w:sz="0" w:space="0" w:color="auto"/>
        <w:right w:val="none" w:sz="0" w:space="0" w:color="auto"/>
      </w:divBdr>
    </w:div>
    <w:div w:id="660354256">
      <w:bodyDiv w:val="1"/>
      <w:marLeft w:val="0"/>
      <w:marRight w:val="0"/>
      <w:marTop w:val="0"/>
      <w:marBottom w:val="0"/>
      <w:divBdr>
        <w:top w:val="none" w:sz="0" w:space="0" w:color="auto"/>
        <w:left w:val="none" w:sz="0" w:space="0" w:color="auto"/>
        <w:bottom w:val="none" w:sz="0" w:space="0" w:color="auto"/>
        <w:right w:val="none" w:sz="0" w:space="0" w:color="auto"/>
      </w:divBdr>
    </w:div>
    <w:div w:id="1238370259">
      <w:bodyDiv w:val="1"/>
      <w:marLeft w:val="0"/>
      <w:marRight w:val="0"/>
      <w:marTop w:val="0"/>
      <w:marBottom w:val="0"/>
      <w:divBdr>
        <w:top w:val="none" w:sz="0" w:space="0" w:color="auto"/>
        <w:left w:val="none" w:sz="0" w:space="0" w:color="auto"/>
        <w:bottom w:val="none" w:sz="0" w:space="0" w:color="auto"/>
        <w:right w:val="none" w:sz="0" w:space="0" w:color="auto"/>
      </w:divBdr>
    </w:div>
    <w:div w:id="1577085876">
      <w:bodyDiv w:val="1"/>
      <w:marLeft w:val="0"/>
      <w:marRight w:val="0"/>
      <w:marTop w:val="0"/>
      <w:marBottom w:val="0"/>
      <w:divBdr>
        <w:top w:val="none" w:sz="0" w:space="0" w:color="auto"/>
        <w:left w:val="none" w:sz="0" w:space="0" w:color="auto"/>
        <w:bottom w:val="none" w:sz="0" w:space="0" w:color="auto"/>
        <w:right w:val="none" w:sz="0" w:space="0" w:color="auto"/>
      </w:divBdr>
    </w:div>
    <w:div w:id="1714453237">
      <w:bodyDiv w:val="1"/>
      <w:marLeft w:val="0"/>
      <w:marRight w:val="0"/>
      <w:marTop w:val="0"/>
      <w:marBottom w:val="0"/>
      <w:divBdr>
        <w:top w:val="none" w:sz="0" w:space="0" w:color="auto"/>
        <w:left w:val="none" w:sz="0" w:space="0" w:color="auto"/>
        <w:bottom w:val="none" w:sz="0" w:space="0" w:color="auto"/>
        <w:right w:val="none" w:sz="0" w:space="0" w:color="auto"/>
      </w:divBdr>
      <w:divsChild>
        <w:div w:id="895046349">
          <w:marLeft w:val="360"/>
          <w:marRight w:val="0"/>
          <w:marTop w:val="200"/>
          <w:marBottom w:val="0"/>
          <w:divBdr>
            <w:top w:val="none" w:sz="0" w:space="0" w:color="auto"/>
            <w:left w:val="none" w:sz="0" w:space="0" w:color="auto"/>
            <w:bottom w:val="none" w:sz="0" w:space="0" w:color="auto"/>
            <w:right w:val="none" w:sz="0" w:space="0" w:color="auto"/>
          </w:divBdr>
        </w:div>
        <w:div w:id="629946076">
          <w:marLeft w:val="1080"/>
          <w:marRight w:val="0"/>
          <w:marTop w:val="100"/>
          <w:marBottom w:val="0"/>
          <w:divBdr>
            <w:top w:val="none" w:sz="0" w:space="0" w:color="auto"/>
            <w:left w:val="none" w:sz="0" w:space="0" w:color="auto"/>
            <w:bottom w:val="none" w:sz="0" w:space="0" w:color="auto"/>
            <w:right w:val="none" w:sz="0" w:space="0" w:color="auto"/>
          </w:divBdr>
        </w:div>
        <w:div w:id="1852911920">
          <w:marLeft w:val="1080"/>
          <w:marRight w:val="0"/>
          <w:marTop w:val="100"/>
          <w:marBottom w:val="0"/>
          <w:divBdr>
            <w:top w:val="none" w:sz="0" w:space="0" w:color="auto"/>
            <w:left w:val="none" w:sz="0" w:space="0" w:color="auto"/>
            <w:bottom w:val="none" w:sz="0" w:space="0" w:color="auto"/>
            <w:right w:val="none" w:sz="0" w:space="0" w:color="auto"/>
          </w:divBdr>
        </w:div>
        <w:div w:id="1732390411">
          <w:marLeft w:val="1800"/>
          <w:marRight w:val="0"/>
          <w:marTop w:val="100"/>
          <w:marBottom w:val="0"/>
          <w:divBdr>
            <w:top w:val="none" w:sz="0" w:space="0" w:color="auto"/>
            <w:left w:val="none" w:sz="0" w:space="0" w:color="auto"/>
            <w:bottom w:val="none" w:sz="0" w:space="0" w:color="auto"/>
            <w:right w:val="none" w:sz="0" w:space="0" w:color="auto"/>
          </w:divBdr>
        </w:div>
        <w:div w:id="1121649221">
          <w:marLeft w:val="1080"/>
          <w:marRight w:val="0"/>
          <w:marTop w:val="100"/>
          <w:marBottom w:val="0"/>
          <w:divBdr>
            <w:top w:val="none" w:sz="0" w:space="0" w:color="auto"/>
            <w:left w:val="none" w:sz="0" w:space="0" w:color="auto"/>
            <w:bottom w:val="none" w:sz="0" w:space="0" w:color="auto"/>
            <w:right w:val="none" w:sz="0" w:space="0" w:color="auto"/>
          </w:divBdr>
        </w:div>
        <w:div w:id="2107262950">
          <w:marLeft w:val="1080"/>
          <w:marRight w:val="0"/>
          <w:marTop w:val="100"/>
          <w:marBottom w:val="0"/>
          <w:divBdr>
            <w:top w:val="none" w:sz="0" w:space="0" w:color="auto"/>
            <w:left w:val="none" w:sz="0" w:space="0" w:color="auto"/>
            <w:bottom w:val="none" w:sz="0" w:space="0" w:color="auto"/>
            <w:right w:val="none" w:sz="0" w:space="0" w:color="auto"/>
          </w:divBdr>
        </w:div>
      </w:divsChild>
    </w:div>
    <w:div w:id="185927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5AIRPNAIUNRU-1328258698-520</_dlc_DocId>
    <_dlc_DocIdUrl xmlns="71c5aaf6-e6ce-465b-b873-5148d2a4c105">
      <Url>https://nokia.sharepoint.com/sites/c5g/5gradio/_layouts/15/DocIdRedir.aspx?ID=5AIRPNAIUNRU-1328258698-520</Url>
      <Description>5AIRPNAIUNRU-1328258698-520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DCD7-A729-422A-B83F-D819100E98B7}">
  <ds:schemaRefs>
    <ds:schemaRef ds:uri="http://schemas.microsoft.com/sharepoint/v3/contenttype/forms"/>
  </ds:schemaRefs>
</ds:datastoreItem>
</file>

<file path=customXml/itemProps2.xml><?xml version="1.0" encoding="utf-8"?>
<ds:datastoreItem xmlns:ds="http://schemas.openxmlformats.org/officeDocument/2006/customXml" ds:itemID="{0C62B14F-354D-4E35-A899-F34310A4CDB1}">
  <ds:schemaRefs>
    <ds:schemaRef ds:uri="http://schemas.microsoft.com/office/infopath/2007/PartnerControls"/>
    <ds:schemaRef ds:uri="http://www.w3.org/XML/1998/namespace"/>
    <ds:schemaRef ds:uri="http://purl.org/dc/elements/1.1/"/>
    <ds:schemaRef ds:uri="http://schemas.microsoft.com/office/2006/metadata/properties"/>
    <ds:schemaRef ds:uri="71c5aaf6-e6ce-465b-b873-5148d2a4c105"/>
    <ds:schemaRef ds:uri="http://schemas.openxmlformats.org/package/2006/metadata/core-properties"/>
    <ds:schemaRef ds:uri="0b6aed8e-0313-4d17-80ff-d0e5da4931c5"/>
    <ds:schemaRef ds:uri="http://schemas.microsoft.com/office/2006/documentManagement/types"/>
    <ds:schemaRef ds:uri="3b34c8f0-1ef5-4d1e-bb66-517ce7fe7356"/>
    <ds:schemaRef ds:uri="http://purl.org/dc/dcmitype/"/>
    <ds:schemaRef ds:uri="http://purl.org/dc/terms/"/>
  </ds:schemaRefs>
</ds:datastoreItem>
</file>

<file path=customXml/itemProps3.xml><?xml version="1.0" encoding="utf-8"?>
<ds:datastoreItem xmlns:ds="http://schemas.openxmlformats.org/officeDocument/2006/customXml" ds:itemID="{2BC946A4-A6F8-49EC-ADBB-5805DA8A20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06568A-2755-450A-A5AE-723262DFD01C}">
  <ds:schemaRefs>
    <ds:schemaRef ds:uri="Microsoft.SharePoint.Taxonomy.ContentTypeSync"/>
  </ds:schemaRefs>
</ds:datastoreItem>
</file>

<file path=customXml/itemProps5.xml><?xml version="1.0" encoding="utf-8"?>
<ds:datastoreItem xmlns:ds="http://schemas.openxmlformats.org/officeDocument/2006/customXml" ds:itemID="{3786A211-9A5A-4470-9A3A-114DB829B8DC}">
  <ds:schemaRefs>
    <ds:schemaRef ds:uri="http://schemas.microsoft.com/sharepoint/events"/>
  </ds:schemaRefs>
</ds:datastoreItem>
</file>

<file path=customXml/itemProps6.xml><?xml version="1.0" encoding="utf-8"?>
<ds:datastoreItem xmlns:ds="http://schemas.openxmlformats.org/officeDocument/2006/customXml" ds:itemID="{BA5D14C6-4E44-4408-B073-A1B1F05CA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4</Pages>
  <Words>1172</Words>
  <Characters>7151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Almeida, Erika (Nokia - DK/Aalborg)</cp:lastModifiedBy>
  <cp:revision>13</cp:revision>
  <dcterms:created xsi:type="dcterms:W3CDTF">2019-07-03T09:07:00Z</dcterms:created>
  <dcterms:modified xsi:type="dcterms:W3CDTF">2019-08-16T12:43:00Z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3f6b5518-026e-440a-be69-a7500e9f9157</vt:lpwstr>
  </property>
</Properties>
</file>